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B787" w14:textId="49A70932" w:rsidR="00093A18" w:rsidRPr="00686CD6" w:rsidRDefault="00BE7D4E" w:rsidP="00686CD6">
      <w:pPr>
        <w:spacing w:after="0" w:line="276" w:lineRule="auto"/>
        <w:jc w:val="right"/>
        <w:rPr>
          <w:rFonts w:cstheme="minorHAnsi"/>
          <w:b/>
          <w:bCs/>
          <w:sz w:val="24"/>
          <w:szCs w:val="24"/>
        </w:rPr>
      </w:pPr>
      <w:r w:rsidRPr="00686CD6">
        <w:rPr>
          <w:rFonts w:cstheme="minorHAnsi"/>
          <w:b/>
          <w:bCs/>
          <w:sz w:val="24"/>
          <w:szCs w:val="24"/>
        </w:rPr>
        <w:t xml:space="preserve">Agenda Item </w:t>
      </w:r>
      <w:r w:rsidR="0033715D">
        <w:rPr>
          <w:rFonts w:cstheme="minorHAnsi"/>
          <w:b/>
          <w:bCs/>
          <w:sz w:val="24"/>
          <w:szCs w:val="24"/>
        </w:rPr>
        <w:t>7</w:t>
      </w:r>
    </w:p>
    <w:p w14:paraId="338C3A0E" w14:textId="77777777" w:rsidR="00093A18" w:rsidRPr="00686CD6" w:rsidRDefault="00093A18" w:rsidP="00686CD6">
      <w:pPr>
        <w:spacing w:after="0" w:line="276" w:lineRule="auto"/>
        <w:jc w:val="center"/>
        <w:rPr>
          <w:rFonts w:cstheme="minorHAnsi"/>
          <w:b/>
          <w:bCs/>
          <w:sz w:val="24"/>
          <w:szCs w:val="24"/>
        </w:rPr>
      </w:pPr>
    </w:p>
    <w:p w14:paraId="522A2BA0" w14:textId="7E4AAB93" w:rsidR="00167BEC" w:rsidRDefault="00FF6545" w:rsidP="00686CD6">
      <w:pPr>
        <w:spacing w:after="0" w:line="276" w:lineRule="auto"/>
        <w:jc w:val="center"/>
        <w:rPr>
          <w:rFonts w:cstheme="minorHAnsi"/>
          <w:b/>
          <w:bCs/>
          <w:sz w:val="36"/>
          <w:szCs w:val="36"/>
        </w:rPr>
      </w:pPr>
      <w:r>
        <w:rPr>
          <w:rFonts w:cstheme="minorHAnsi"/>
          <w:b/>
          <w:bCs/>
          <w:sz w:val="36"/>
          <w:szCs w:val="36"/>
        </w:rPr>
        <w:t>Transfer of Assets &amp; Liabilities</w:t>
      </w:r>
    </w:p>
    <w:p w14:paraId="4EF59264" w14:textId="13D54102" w:rsidR="00093A18" w:rsidRPr="00686CD6" w:rsidRDefault="00093A18" w:rsidP="00686CD6">
      <w:pPr>
        <w:spacing w:after="0" w:line="276" w:lineRule="auto"/>
        <w:jc w:val="center"/>
        <w:rPr>
          <w:rFonts w:cstheme="minorHAnsi"/>
          <w:b/>
          <w:bCs/>
          <w:color w:val="000000" w:themeColor="text1"/>
          <w:sz w:val="24"/>
          <w:szCs w:val="24"/>
        </w:rPr>
      </w:pPr>
    </w:p>
    <w:p w14:paraId="50093DBB" w14:textId="47A6F8C8" w:rsidR="00093A18" w:rsidRPr="00686CD6" w:rsidRDefault="00997047" w:rsidP="00686CD6">
      <w:pPr>
        <w:spacing w:after="0" w:line="276" w:lineRule="auto"/>
        <w:jc w:val="center"/>
        <w:rPr>
          <w:rFonts w:cstheme="minorHAnsi"/>
          <w:b/>
          <w:bCs/>
          <w:color w:val="000000" w:themeColor="text1"/>
          <w:sz w:val="24"/>
          <w:szCs w:val="24"/>
        </w:rPr>
      </w:pPr>
      <w:r w:rsidRPr="00686CD6">
        <w:rPr>
          <w:noProof/>
          <w:sz w:val="24"/>
          <w:szCs w:val="24"/>
          <w:lang w:eastAsia="en-GB"/>
        </w:rPr>
        <mc:AlternateContent>
          <mc:Choice Requires="wps">
            <w:drawing>
              <wp:anchor distT="0" distB="0" distL="114300" distR="114300" simplePos="0" relativeHeight="251658240" behindDoc="0" locked="0" layoutInCell="1" allowOverlap="1" wp14:anchorId="216FCA7C" wp14:editId="3BF5EC3E">
                <wp:simplePos x="0" y="0"/>
                <wp:positionH relativeFrom="margin">
                  <wp:align>right</wp:align>
                </wp:positionH>
                <wp:positionV relativeFrom="paragraph">
                  <wp:posOffset>99695</wp:posOffset>
                </wp:positionV>
                <wp:extent cx="5524500" cy="5924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524500" cy="5924550"/>
                        </a:xfrm>
                        <a:prstGeom prst="rect">
                          <a:avLst/>
                        </a:prstGeom>
                        <a:solidFill>
                          <a:schemeClr val="accent4">
                            <a:lumMod val="60000"/>
                            <a:lumOff val="40000"/>
                            <a:alpha val="3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BAC7D3" w14:textId="77777777" w:rsidR="00CD392F" w:rsidRPr="00CD392F" w:rsidRDefault="00CD392F" w:rsidP="00093A18">
                            <w:pPr>
                              <w:rPr>
                                <w:rFonts w:cstheme="minorHAnsi"/>
                                <w:b/>
                                <w:color w:val="000000" w:themeColor="text1"/>
                                <w:sz w:val="12"/>
                                <w:szCs w:val="12"/>
                              </w:rPr>
                            </w:pPr>
                          </w:p>
                          <w:p w14:paraId="58B7AC52" w14:textId="416E04CB" w:rsidR="00093A18" w:rsidRPr="009A4D42" w:rsidRDefault="00093A18" w:rsidP="00093A18">
                            <w:pPr>
                              <w:rPr>
                                <w:rFonts w:cstheme="minorHAnsi"/>
                                <w:b/>
                                <w:color w:val="000000" w:themeColor="text1"/>
                                <w:sz w:val="28"/>
                                <w:szCs w:val="28"/>
                              </w:rPr>
                            </w:pPr>
                            <w:r w:rsidRPr="009A4D42">
                              <w:rPr>
                                <w:rFonts w:cstheme="minorHAnsi"/>
                                <w:b/>
                                <w:color w:val="000000" w:themeColor="text1"/>
                                <w:sz w:val="28"/>
                                <w:szCs w:val="28"/>
                              </w:rPr>
                              <w:t xml:space="preserve">SSLEP Executive Board is asked to consider, comment and vote on the following </w:t>
                            </w:r>
                            <w:r w:rsidR="00BF052B" w:rsidRPr="009A4D42">
                              <w:rPr>
                                <w:rFonts w:cstheme="minorHAnsi"/>
                                <w:b/>
                                <w:color w:val="000000" w:themeColor="text1"/>
                                <w:sz w:val="28"/>
                                <w:szCs w:val="28"/>
                              </w:rPr>
                              <w:t>recommendations</w:t>
                            </w:r>
                            <w:r w:rsidRPr="009A4D42">
                              <w:rPr>
                                <w:rFonts w:cstheme="minorHAnsi"/>
                                <w:b/>
                                <w:color w:val="000000" w:themeColor="text1"/>
                                <w:sz w:val="28"/>
                                <w:szCs w:val="28"/>
                              </w:rPr>
                              <w:t>:</w:t>
                            </w:r>
                          </w:p>
                          <w:p w14:paraId="6BBF4518" w14:textId="78AB0DF5" w:rsidR="00D10748" w:rsidRDefault="000B4A50">
                            <w:pPr>
                              <w:pStyle w:val="NoSpacing"/>
                              <w:numPr>
                                <w:ilvl w:val="0"/>
                                <w:numId w:val="22"/>
                              </w:numPr>
                              <w:spacing w:before="120"/>
                              <w:jc w:val="both"/>
                              <w:rPr>
                                <w:rFonts w:cstheme="minorHAnsi"/>
                                <w:color w:val="000000" w:themeColor="text1"/>
                                <w:sz w:val="28"/>
                                <w:szCs w:val="28"/>
                              </w:rPr>
                            </w:pPr>
                            <w:r w:rsidRPr="00D10748">
                              <w:rPr>
                                <w:rFonts w:cstheme="minorHAnsi"/>
                                <w:color w:val="000000" w:themeColor="text1"/>
                                <w:sz w:val="28"/>
                                <w:szCs w:val="28"/>
                              </w:rPr>
                              <w:t xml:space="preserve">Note that the SSLEP </w:t>
                            </w:r>
                            <w:r w:rsidR="005B6362" w:rsidRPr="00D10748">
                              <w:rPr>
                                <w:rFonts w:cstheme="minorHAnsi"/>
                                <w:color w:val="000000" w:themeColor="text1"/>
                                <w:sz w:val="28"/>
                                <w:szCs w:val="28"/>
                              </w:rPr>
                              <w:t>Executive Board members agreed to</w:t>
                            </w:r>
                            <w:r w:rsidR="00F51044" w:rsidRPr="00D10748">
                              <w:rPr>
                                <w:rFonts w:cstheme="minorHAnsi"/>
                                <w:color w:val="000000" w:themeColor="text1"/>
                                <w:sz w:val="28"/>
                                <w:szCs w:val="28"/>
                              </w:rPr>
                              <w:t xml:space="preserve"> </w:t>
                            </w:r>
                            <w:r w:rsidR="005B6362" w:rsidRPr="00D10748">
                              <w:rPr>
                                <w:rFonts w:cstheme="minorHAnsi"/>
                                <w:color w:val="000000" w:themeColor="text1"/>
                                <w:sz w:val="28"/>
                                <w:szCs w:val="28"/>
                              </w:rPr>
                              <w:t xml:space="preserve">transfer of </w:t>
                            </w:r>
                            <w:r w:rsidR="00F51044" w:rsidRPr="00D10748">
                              <w:rPr>
                                <w:rFonts w:cstheme="minorHAnsi"/>
                                <w:color w:val="000000" w:themeColor="text1"/>
                                <w:sz w:val="28"/>
                                <w:szCs w:val="28"/>
                              </w:rPr>
                              <w:t xml:space="preserve">the SSLEP to Staffordshire County Council </w:t>
                            </w:r>
                            <w:r w:rsidR="001B1097" w:rsidRPr="00D10748">
                              <w:rPr>
                                <w:rFonts w:cstheme="minorHAnsi"/>
                                <w:color w:val="000000" w:themeColor="text1"/>
                                <w:sz w:val="28"/>
                                <w:szCs w:val="28"/>
                              </w:rPr>
                              <w:t xml:space="preserve">(SCC) </w:t>
                            </w:r>
                            <w:r w:rsidR="00F51044" w:rsidRPr="00D10748">
                              <w:rPr>
                                <w:rFonts w:cstheme="minorHAnsi"/>
                                <w:color w:val="000000" w:themeColor="text1"/>
                                <w:sz w:val="28"/>
                                <w:szCs w:val="28"/>
                              </w:rPr>
                              <w:t xml:space="preserve">as the </w:t>
                            </w:r>
                            <w:r w:rsidR="001B1097" w:rsidRPr="00D10748">
                              <w:rPr>
                                <w:rFonts w:cstheme="minorHAnsi"/>
                                <w:color w:val="000000" w:themeColor="text1"/>
                                <w:sz w:val="28"/>
                                <w:szCs w:val="28"/>
                              </w:rPr>
                              <w:t>A</w:t>
                            </w:r>
                            <w:r w:rsidR="00F51044" w:rsidRPr="00D10748">
                              <w:rPr>
                                <w:rFonts w:cstheme="minorHAnsi"/>
                                <w:color w:val="000000" w:themeColor="text1"/>
                                <w:sz w:val="28"/>
                                <w:szCs w:val="28"/>
                              </w:rPr>
                              <w:t xml:space="preserve">ccountable </w:t>
                            </w:r>
                            <w:r w:rsidR="001B1097" w:rsidRPr="00D10748">
                              <w:rPr>
                                <w:rFonts w:cstheme="minorHAnsi"/>
                                <w:color w:val="000000" w:themeColor="text1"/>
                                <w:sz w:val="28"/>
                                <w:szCs w:val="28"/>
                              </w:rPr>
                              <w:t>B</w:t>
                            </w:r>
                            <w:r w:rsidR="00F51044" w:rsidRPr="00D10748">
                              <w:rPr>
                                <w:rFonts w:cstheme="minorHAnsi"/>
                                <w:color w:val="000000" w:themeColor="text1"/>
                                <w:sz w:val="28"/>
                                <w:szCs w:val="28"/>
                              </w:rPr>
                              <w:t>ody</w:t>
                            </w:r>
                            <w:r w:rsidR="001B1097" w:rsidRPr="00D10748">
                              <w:rPr>
                                <w:rFonts w:cstheme="minorHAnsi"/>
                                <w:color w:val="000000" w:themeColor="text1"/>
                                <w:sz w:val="28"/>
                                <w:szCs w:val="28"/>
                              </w:rPr>
                              <w:t>,</w:t>
                            </w:r>
                            <w:r w:rsidR="00F51044" w:rsidRPr="00D10748">
                              <w:rPr>
                                <w:rFonts w:cstheme="minorHAnsi"/>
                                <w:color w:val="000000" w:themeColor="text1"/>
                                <w:sz w:val="28"/>
                                <w:szCs w:val="28"/>
                              </w:rPr>
                              <w:t xml:space="preserve"> </w:t>
                            </w:r>
                            <w:r w:rsidR="001B1097" w:rsidRPr="00D10748">
                              <w:rPr>
                                <w:rFonts w:cstheme="minorHAnsi"/>
                                <w:color w:val="000000" w:themeColor="text1"/>
                                <w:sz w:val="28"/>
                                <w:szCs w:val="28"/>
                              </w:rPr>
                              <w:t>in line with Government guidance and in consultation with Stoke-on-Trent City Council</w:t>
                            </w:r>
                            <w:r w:rsidR="00D10748" w:rsidRPr="00D10748">
                              <w:rPr>
                                <w:rFonts w:cstheme="minorHAnsi"/>
                                <w:color w:val="000000" w:themeColor="text1"/>
                                <w:sz w:val="28"/>
                                <w:szCs w:val="28"/>
                              </w:rPr>
                              <w:t xml:space="preserve"> (SoTCC)</w:t>
                            </w:r>
                            <w:r w:rsidR="00587C72">
                              <w:rPr>
                                <w:rFonts w:cstheme="minorHAnsi"/>
                                <w:color w:val="000000" w:themeColor="text1"/>
                                <w:sz w:val="28"/>
                                <w:szCs w:val="28"/>
                              </w:rPr>
                              <w:t>.</w:t>
                            </w:r>
                          </w:p>
                          <w:p w14:paraId="3ECC3A22" w14:textId="082A2FD2" w:rsidR="00B6497B" w:rsidRDefault="0013698B">
                            <w:pPr>
                              <w:pStyle w:val="NoSpacing"/>
                              <w:numPr>
                                <w:ilvl w:val="0"/>
                                <w:numId w:val="22"/>
                              </w:numPr>
                              <w:spacing w:before="120"/>
                              <w:jc w:val="both"/>
                              <w:rPr>
                                <w:rFonts w:cstheme="minorHAnsi"/>
                                <w:color w:val="000000" w:themeColor="text1"/>
                                <w:sz w:val="28"/>
                                <w:szCs w:val="28"/>
                              </w:rPr>
                            </w:pPr>
                            <w:r>
                              <w:rPr>
                                <w:rFonts w:cstheme="minorHAnsi"/>
                                <w:color w:val="000000" w:themeColor="text1"/>
                                <w:sz w:val="28"/>
                                <w:szCs w:val="28"/>
                              </w:rPr>
                              <w:t>The Executive Board gives final agreement to the transfer of the SSLEPs assets and liabilities to the Accountable Body</w:t>
                            </w:r>
                            <w:r w:rsidR="002B2BE8">
                              <w:rPr>
                                <w:rFonts w:cstheme="minorHAnsi"/>
                                <w:color w:val="000000" w:themeColor="text1"/>
                                <w:sz w:val="28"/>
                                <w:szCs w:val="28"/>
                              </w:rPr>
                              <w:t xml:space="preserve"> through the </w:t>
                            </w:r>
                            <w:r w:rsidR="00587C72">
                              <w:rPr>
                                <w:rFonts w:cstheme="minorHAnsi"/>
                                <w:color w:val="000000" w:themeColor="text1"/>
                                <w:sz w:val="28"/>
                                <w:szCs w:val="28"/>
                              </w:rPr>
                              <w:t>completion of the appended asset transfer agreements</w:t>
                            </w:r>
                            <w:r w:rsidR="00212436">
                              <w:rPr>
                                <w:rFonts w:cstheme="minorHAnsi"/>
                                <w:color w:val="000000" w:themeColor="text1"/>
                                <w:sz w:val="28"/>
                                <w:szCs w:val="28"/>
                              </w:rPr>
                              <w:t xml:space="preserve"> and loan assignment notices</w:t>
                            </w:r>
                            <w:r w:rsidR="00587C72">
                              <w:rPr>
                                <w:rFonts w:cstheme="minorHAnsi"/>
                                <w:color w:val="000000" w:themeColor="text1"/>
                                <w:sz w:val="28"/>
                                <w:szCs w:val="28"/>
                              </w:rPr>
                              <w:t>.</w:t>
                            </w:r>
                          </w:p>
                          <w:p w14:paraId="2EEBAB3E" w14:textId="6FD0A3FC" w:rsidR="00D10748" w:rsidRDefault="00D10748">
                            <w:pPr>
                              <w:pStyle w:val="NoSpacing"/>
                              <w:numPr>
                                <w:ilvl w:val="0"/>
                                <w:numId w:val="22"/>
                              </w:numPr>
                              <w:spacing w:before="120"/>
                              <w:jc w:val="both"/>
                              <w:rPr>
                                <w:rFonts w:cstheme="minorHAnsi"/>
                                <w:color w:val="000000" w:themeColor="text1"/>
                                <w:sz w:val="28"/>
                                <w:szCs w:val="28"/>
                              </w:rPr>
                            </w:pPr>
                            <w:r>
                              <w:rPr>
                                <w:rFonts w:cstheme="minorHAnsi"/>
                                <w:color w:val="000000" w:themeColor="text1"/>
                                <w:sz w:val="28"/>
                                <w:szCs w:val="28"/>
                              </w:rPr>
                              <w:t xml:space="preserve">Consider and comment upon the </w:t>
                            </w:r>
                            <w:r w:rsidR="00B52DDF">
                              <w:rPr>
                                <w:rFonts w:cstheme="minorHAnsi"/>
                                <w:color w:val="000000" w:themeColor="text1"/>
                                <w:sz w:val="28"/>
                                <w:szCs w:val="28"/>
                              </w:rPr>
                              <w:t xml:space="preserve">suggested </w:t>
                            </w:r>
                            <w:r w:rsidR="004B41B3">
                              <w:rPr>
                                <w:rFonts w:cstheme="minorHAnsi"/>
                                <w:color w:val="000000" w:themeColor="text1"/>
                                <w:sz w:val="28"/>
                                <w:szCs w:val="28"/>
                              </w:rPr>
                              <w:t xml:space="preserve">principles for the use of the SSLEP reserves as set out in section </w:t>
                            </w:r>
                            <w:r w:rsidR="00EE1A43">
                              <w:rPr>
                                <w:rFonts w:cstheme="minorHAnsi"/>
                                <w:color w:val="000000" w:themeColor="text1"/>
                                <w:sz w:val="28"/>
                                <w:szCs w:val="28"/>
                              </w:rPr>
                              <w:t>5</w:t>
                            </w:r>
                            <w:r w:rsidR="004B41B3">
                              <w:rPr>
                                <w:rFonts w:cstheme="minorHAnsi"/>
                                <w:color w:val="000000" w:themeColor="text1"/>
                                <w:sz w:val="28"/>
                                <w:szCs w:val="28"/>
                              </w:rPr>
                              <w:t>.</w:t>
                            </w:r>
                          </w:p>
                          <w:p w14:paraId="45824B76" w14:textId="139E8571" w:rsidR="00093A18" w:rsidRDefault="006B2347">
                            <w:pPr>
                              <w:pStyle w:val="NoSpacing"/>
                              <w:numPr>
                                <w:ilvl w:val="0"/>
                                <w:numId w:val="22"/>
                              </w:numPr>
                              <w:spacing w:before="120"/>
                              <w:jc w:val="both"/>
                              <w:rPr>
                                <w:rFonts w:cstheme="minorHAnsi"/>
                                <w:color w:val="000000" w:themeColor="text1"/>
                                <w:sz w:val="28"/>
                                <w:szCs w:val="28"/>
                              </w:rPr>
                            </w:pPr>
                            <w:r>
                              <w:rPr>
                                <w:rFonts w:cstheme="minorHAnsi"/>
                                <w:color w:val="000000" w:themeColor="text1"/>
                                <w:sz w:val="28"/>
                                <w:szCs w:val="28"/>
                              </w:rPr>
                              <w:t xml:space="preserve">Note that </w:t>
                            </w:r>
                            <w:r w:rsidR="00F82328">
                              <w:rPr>
                                <w:rFonts w:cstheme="minorHAnsi"/>
                                <w:color w:val="000000" w:themeColor="text1"/>
                                <w:sz w:val="28"/>
                                <w:szCs w:val="28"/>
                              </w:rPr>
                              <w:t>d</w:t>
                            </w:r>
                            <w:r w:rsidR="00F51044" w:rsidRPr="00D10748">
                              <w:rPr>
                                <w:rFonts w:cstheme="minorHAnsi"/>
                                <w:color w:val="000000" w:themeColor="text1"/>
                                <w:sz w:val="28"/>
                                <w:szCs w:val="28"/>
                              </w:rPr>
                              <w:t xml:space="preserve">ecisions relating to the use of the </w:t>
                            </w:r>
                            <w:r w:rsidR="00F82328">
                              <w:rPr>
                                <w:rFonts w:cstheme="minorHAnsi"/>
                                <w:color w:val="000000" w:themeColor="text1"/>
                                <w:sz w:val="28"/>
                                <w:szCs w:val="28"/>
                              </w:rPr>
                              <w:t>SS</w:t>
                            </w:r>
                            <w:r w:rsidR="00F51044" w:rsidRPr="00D10748">
                              <w:rPr>
                                <w:rFonts w:cstheme="minorHAnsi"/>
                                <w:color w:val="000000" w:themeColor="text1"/>
                                <w:sz w:val="28"/>
                                <w:szCs w:val="28"/>
                              </w:rPr>
                              <w:t xml:space="preserve">LEP reserves be undertaken </w:t>
                            </w:r>
                            <w:r w:rsidR="00F82328">
                              <w:rPr>
                                <w:rFonts w:cstheme="minorHAnsi"/>
                                <w:color w:val="000000" w:themeColor="text1"/>
                                <w:sz w:val="28"/>
                                <w:szCs w:val="28"/>
                              </w:rPr>
                              <w:t xml:space="preserve">through the governance </w:t>
                            </w:r>
                            <w:r w:rsidR="00AF7728">
                              <w:rPr>
                                <w:rFonts w:cstheme="minorHAnsi"/>
                                <w:color w:val="000000" w:themeColor="text1"/>
                                <w:sz w:val="28"/>
                                <w:szCs w:val="28"/>
                              </w:rPr>
                              <w:t xml:space="preserve">arrangements set out in section </w:t>
                            </w:r>
                            <w:r w:rsidR="00AA5980">
                              <w:rPr>
                                <w:rFonts w:cstheme="minorHAnsi"/>
                                <w:color w:val="000000" w:themeColor="text1"/>
                                <w:sz w:val="28"/>
                                <w:szCs w:val="28"/>
                              </w:rPr>
                              <w:t>6</w:t>
                            </w:r>
                            <w:r w:rsidR="00101B26">
                              <w:rPr>
                                <w:rFonts w:cstheme="minorHAnsi"/>
                                <w:color w:val="000000" w:themeColor="text1"/>
                                <w:sz w:val="28"/>
                                <w:szCs w:val="28"/>
                              </w:rPr>
                              <w:t>, in line with the principles for the use of the funding</w:t>
                            </w:r>
                            <w:r w:rsidR="00F51044" w:rsidRPr="00D10748">
                              <w:rPr>
                                <w:rFonts w:cstheme="minorHAnsi"/>
                                <w:color w:val="000000" w:themeColor="text1"/>
                                <w:sz w:val="28"/>
                                <w:szCs w:val="28"/>
                              </w:rPr>
                              <w:t>.</w:t>
                            </w:r>
                          </w:p>
                          <w:p w14:paraId="1EA2FD79" w14:textId="6097A66D" w:rsidR="00CF57B1" w:rsidRPr="00BE7FB9" w:rsidRDefault="00CF57B1">
                            <w:pPr>
                              <w:pStyle w:val="NoSpacing"/>
                              <w:numPr>
                                <w:ilvl w:val="0"/>
                                <w:numId w:val="22"/>
                              </w:numPr>
                              <w:spacing w:before="120"/>
                              <w:jc w:val="both"/>
                              <w:rPr>
                                <w:rFonts w:cstheme="minorHAnsi"/>
                                <w:color w:val="000000" w:themeColor="text1"/>
                                <w:sz w:val="28"/>
                                <w:szCs w:val="28"/>
                              </w:rPr>
                            </w:pPr>
                            <w:r w:rsidRPr="00BE7FB9">
                              <w:rPr>
                                <w:rFonts w:cstheme="minorHAnsi"/>
                                <w:color w:val="000000" w:themeColor="text1"/>
                                <w:sz w:val="28"/>
                                <w:szCs w:val="28"/>
                              </w:rPr>
                              <w:t>In advance of the responsibility of funding programmes being</w:t>
                            </w:r>
                            <w:r w:rsidR="0009604A" w:rsidRPr="00BE7FB9">
                              <w:rPr>
                                <w:rFonts w:cstheme="minorHAnsi"/>
                                <w:color w:val="000000" w:themeColor="text1"/>
                                <w:sz w:val="28"/>
                                <w:szCs w:val="28"/>
                              </w:rPr>
                              <w:t xml:space="preserve"> </w:t>
                            </w:r>
                            <w:r w:rsidR="00711AD0" w:rsidRPr="00BE7FB9">
                              <w:rPr>
                                <w:rFonts w:cstheme="minorHAnsi"/>
                                <w:color w:val="000000" w:themeColor="text1"/>
                                <w:sz w:val="28"/>
                                <w:szCs w:val="28"/>
                              </w:rPr>
                              <w:t xml:space="preserve">transferred to the Accountable Body, </w:t>
                            </w:r>
                            <w:r w:rsidR="00E20F03" w:rsidRPr="00BE7FB9">
                              <w:rPr>
                                <w:rFonts w:cstheme="minorHAnsi"/>
                                <w:color w:val="000000" w:themeColor="text1"/>
                                <w:sz w:val="28"/>
                                <w:szCs w:val="28"/>
                              </w:rPr>
                              <w:t xml:space="preserve">it is requested that £861,750 </w:t>
                            </w:r>
                            <w:r w:rsidR="002240D1" w:rsidRPr="00BE7FB9">
                              <w:rPr>
                                <w:rFonts w:cstheme="minorHAnsi"/>
                                <w:color w:val="000000" w:themeColor="text1"/>
                                <w:sz w:val="28"/>
                                <w:szCs w:val="28"/>
                              </w:rPr>
                              <w:t>of the funding allocated to Chatterley Valley West be backdated for spend prior to the Executive Board approval</w:t>
                            </w:r>
                            <w:r w:rsidR="00E20F03" w:rsidRPr="00BE7FB9">
                              <w:rPr>
                                <w:rFonts w:cstheme="minorHAnsi"/>
                                <w:color w:val="000000" w:themeColor="text1"/>
                                <w:sz w:val="28"/>
                                <w:szCs w:val="28"/>
                              </w:rPr>
                              <w:t>.</w:t>
                            </w:r>
                          </w:p>
                          <w:p w14:paraId="3295C516" w14:textId="77777777" w:rsidR="00093A18" w:rsidRPr="00093A18" w:rsidRDefault="00093A18" w:rsidP="00093A18">
                            <w:pPr>
                              <w:rPr>
                                <w:rFonts w:ascii="Verdana" w:hAnsi="Verdana" w:cs="Arial"/>
                                <w:b/>
                                <w:color w:val="000000" w:themeColor="text1"/>
                              </w:rPr>
                            </w:pPr>
                          </w:p>
                          <w:p w14:paraId="36B6A0F4" w14:textId="77777777" w:rsidR="00093A18" w:rsidRDefault="00093A18" w:rsidP="00093A18">
                            <w:pPr>
                              <w:rPr>
                                <w:rFonts w:ascii="Verdana" w:hAnsi="Verdana" w:cs="Arial"/>
                                <w:b/>
                                <w:color w:val="000000" w:themeColor="text1"/>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6FCA7C" id="Rectangle 1" o:spid="_x0000_s1026" style="position:absolute;left:0;text-align:left;margin-left:383.8pt;margin-top:7.85pt;width:435pt;height:46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" fillcolor="#ffd966 [1943]" strokecolor="#1f3763 [1604]" strokeweight="1pt">
                <v:fill opacity="22873f"/>
                <v:textbox>
                  <w:txbxContent>
                    <w:p w14:paraId="34BAC7D3" w14:textId="77777777" w:rsidR="00CD392F" w:rsidRPr="00CD392F" w:rsidRDefault="00CD392F" w:rsidP="00093A18">
                      <w:pPr>
                        <w:rPr>
                          <w:rFonts w:cstheme="minorHAnsi"/>
                          <w:b/>
                          <w:color w:val="000000" w:themeColor="text1"/>
                          <w:sz w:val="12"/>
                          <w:szCs w:val="12"/>
                        </w:rPr>
                      </w:pPr>
                    </w:p>
                    <w:p w14:paraId="58B7AC52" w14:textId="416E04CB" w:rsidR="00093A18" w:rsidRPr="009A4D42" w:rsidRDefault="00093A18" w:rsidP="00093A18">
                      <w:pPr>
                        <w:rPr>
                          <w:rFonts w:cstheme="minorHAnsi"/>
                          <w:b/>
                          <w:color w:val="000000" w:themeColor="text1"/>
                          <w:sz w:val="28"/>
                          <w:szCs w:val="28"/>
                        </w:rPr>
                      </w:pPr>
                      <w:r w:rsidRPr="009A4D42">
                        <w:rPr>
                          <w:rFonts w:cstheme="minorHAnsi"/>
                          <w:b/>
                          <w:color w:val="000000" w:themeColor="text1"/>
                          <w:sz w:val="28"/>
                          <w:szCs w:val="28"/>
                        </w:rPr>
                        <w:t xml:space="preserve">SSLEP Executive Board is asked to consider, comment and vote on the following </w:t>
                      </w:r>
                      <w:r w:rsidR="00BF052B" w:rsidRPr="009A4D42">
                        <w:rPr>
                          <w:rFonts w:cstheme="minorHAnsi"/>
                          <w:b/>
                          <w:color w:val="000000" w:themeColor="text1"/>
                          <w:sz w:val="28"/>
                          <w:szCs w:val="28"/>
                        </w:rPr>
                        <w:t>recommendations</w:t>
                      </w:r>
                      <w:r w:rsidRPr="009A4D42">
                        <w:rPr>
                          <w:rFonts w:cstheme="minorHAnsi"/>
                          <w:b/>
                          <w:color w:val="000000" w:themeColor="text1"/>
                          <w:sz w:val="28"/>
                          <w:szCs w:val="28"/>
                        </w:rPr>
                        <w:t>:</w:t>
                      </w:r>
                    </w:p>
                    <w:p w14:paraId="6BBF4518" w14:textId="78AB0DF5" w:rsidR="00D10748" w:rsidRDefault="000B4A50">
                      <w:pPr>
                        <w:pStyle w:val="NoSpacing"/>
                        <w:numPr>
                          <w:ilvl w:val="0"/>
                          <w:numId w:val="22"/>
                        </w:numPr>
                        <w:spacing w:before="120"/>
                        <w:jc w:val="both"/>
                        <w:rPr>
                          <w:rFonts w:cstheme="minorHAnsi"/>
                          <w:color w:val="000000" w:themeColor="text1"/>
                          <w:sz w:val="28"/>
                          <w:szCs w:val="28"/>
                        </w:rPr>
                      </w:pPr>
                      <w:r w:rsidRPr="00D10748">
                        <w:rPr>
                          <w:rFonts w:cstheme="minorHAnsi"/>
                          <w:color w:val="000000" w:themeColor="text1"/>
                          <w:sz w:val="28"/>
                          <w:szCs w:val="28"/>
                        </w:rPr>
                        <w:t xml:space="preserve">Note that the SSLEP </w:t>
                      </w:r>
                      <w:r w:rsidR="005B6362" w:rsidRPr="00D10748">
                        <w:rPr>
                          <w:rFonts w:cstheme="minorHAnsi"/>
                          <w:color w:val="000000" w:themeColor="text1"/>
                          <w:sz w:val="28"/>
                          <w:szCs w:val="28"/>
                        </w:rPr>
                        <w:t>Executive Board members agreed to</w:t>
                      </w:r>
                      <w:r w:rsidR="00F51044" w:rsidRPr="00D10748">
                        <w:rPr>
                          <w:rFonts w:cstheme="minorHAnsi"/>
                          <w:color w:val="000000" w:themeColor="text1"/>
                          <w:sz w:val="28"/>
                          <w:szCs w:val="28"/>
                        </w:rPr>
                        <w:t xml:space="preserve"> </w:t>
                      </w:r>
                      <w:r w:rsidR="005B6362" w:rsidRPr="00D10748">
                        <w:rPr>
                          <w:rFonts w:cstheme="minorHAnsi"/>
                          <w:color w:val="000000" w:themeColor="text1"/>
                          <w:sz w:val="28"/>
                          <w:szCs w:val="28"/>
                        </w:rPr>
                        <w:t xml:space="preserve">transfer of </w:t>
                      </w:r>
                      <w:r w:rsidR="00F51044" w:rsidRPr="00D10748">
                        <w:rPr>
                          <w:rFonts w:cstheme="minorHAnsi"/>
                          <w:color w:val="000000" w:themeColor="text1"/>
                          <w:sz w:val="28"/>
                          <w:szCs w:val="28"/>
                        </w:rPr>
                        <w:t xml:space="preserve">the SSLEP to Staffordshire County Council </w:t>
                      </w:r>
                      <w:r w:rsidR="001B1097" w:rsidRPr="00D10748">
                        <w:rPr>
                          <w:rFonts w:cstheme="minorHAnsi"/>
                          <w:color w:val="000000" w:themeColor="text1"/>
                          <w:sz w:val="28"/>
                          <w:szCs w:val="28"/>
                        </w:rPr>
                        <w:t xml:space="preserve">(SCC) </w:t>
                      </w:r>
                      <w:r w:rsidR="00F51044" w:rsidRPr="00D10748">
                        <w:rPr>
                          <w:rFonts w:cstheme="minorHAnsi"/>
                          <w:color w:val="000000" w:themeColor="text1"/>
                          <w:sz w:val="28"/>
                          <w:szCs w:val="28"/>
                        </w:rPr>
                        <w:t xml:space="preserve">as the </w:t>
                      </w:r>
                      <w:r w:rsidR="001B1097" w:rsidRPr="00D10748">
                        <w:rPr>
                          <w:rFonts w:cstheme="minorHAnsi"/>
                          <w:color w:val="000000" w:themeColor="text1"/>
                          <w:sz w:val="28"/>
                          <w:szCs w:val="28"/>
                        </w:rPr>
                        <w:t>A</w:t>
                      </w:r>
                      <w:r w:rsidR="00F51044" w:rsidRPr="00D10748">
                        <w:rPr>
                          <w:rFonts w:cstheme="minorHAnsi"/>
                          <w:color w:val="000000" w:themeColor="text1"/>
                          <w:sz w:val="28"/>
                          <w:szCs w:val="28"/>
                        </w:rPr>
                        <w:t xml:space="preserve">ccountable </w:t>
                      </w:r>
                      <w:r w:rsidR="001B1097" w:rsidRPr="00D10748">
                        <w:rPr>
                          <w:rFonts w:cstheme="minorHAnsi"/>
                          <w:color w:val="000000" w:themeColor="text1"/>
                          <w:sz w:val="28"/>
                          <w:szCs w:val="28"/>
                        </w:rPr>
                        <w:t>B</w:t>
                      </w:r>
                      <w:r w:rsidR="00F51044" w:rsidRPr="00D10748">
                        <w:rPr>
                          <w:rFonts w:cstheme="minorHAnsi"/>
                          <w:color w:val="000000" w:themeColor="text1"/>
                          <w:sz w:val="28"/>
                          <w:szCs w:val="28"/>
                        </w:rPr>
                        <w:t>ody</w:t>
                      </w:r>
                      <w:r w:rsidR="001B1097" w:rsidRPr="00D10748">
                        <w:rPr>
                          <w:rFonts w:cstheme="minorHAnsi"/>
                          <w:color w:val="000000" w:themeColor="text1"/>
                          <w:sz w:val="28"/>
                          <w:szCs w:val="28"/>
                        </w:rPr>
                        <w:t>,</w:t>
                      </w:r>
                      <w:r w:rsidR="00F51044" w:rsidRPr="00D10748">
                        <w:rPr>
                          <w:rFonts w:cstheme="minorHAnsi"/>
                          <w:color w:val="000000" w:themeColor="text1"/>
                          <w:sz w:val="28"/>
                          <w:szCs w:val="28"/>
                        </w:rPr>
                        <w:t xml:space="preserve"> </w:t>
                      </w:r>
                      <w:r w:rsidR="001B1097" w:rsidRPr="00D10748">
                        <w:rPr>
                          <w:rFonts w:cstheme="minorHAnsi"/>
                          <w:color w:val="000000" w:themeColor="text1"/>
                          <w:sz w:val="28"/>
                          <w:szCs w:val="28"/>
                        </w:rPr>
                        <w:t>in line with Government guidance and in consultation with Stoke-on-Trent City Council</w:t>
                      </w:r>
                      <w:r w:rsidR="00D10748" w:rsidRPr="00D10748">
                        <w:rPr>
                          <w:rFonts w:cstheme="minorHAnsi"/>
                          <w:color w:val="000000" w:themeColor="text1"/>
                          <w:sz w:val="28"/>
                          <w:szCs w:val="28"/>
                        </w:rPr>
                        <w:t xml:space="preserve"> (SoTCC)</w:t>
                      </w:r>
                      <w:r w:rsidR="00587C72">
                        <w:rPr>
                          <w:rFonts w:cstheme="minorHAnsi"/>
                          <w:color w:val="000000" w:themeColor="text1"/>
                          <w:sz w:val="28"/>
                          <w:szCs w:val="28"/>
                        </w:rPr>
                        <w:t>.</w:t>
                      </w:r>
                    </w:p>
                    <w:p w14:paraId="3ECC3A22" w14:textId="082A2FD2" w:rsidR="00B6497B" w:rsidRDefault="0013698B">
                      <w:pPr>
                        <w:pStyle w:val="NoSpacing"/>
                        <w:numPr>
                          <w:ilvl w:val="0"/>
                          <w:numId w:val="22"/>
                        </w:numPr>
                        <w:spacing w:before="120"/>
                        <w:jc w:val="both"/>
                        <w:rPr>
                          <w:rFonts w:cstheme="minorHAnsi"/>
                          <w:color w:val="000000" w:themeColor="text1"/>
                          <w:sz w:val="28"/>
                          <w:szCs w:val="28"/>
                        </w:rPr>
                      </w:pPr>
                      <w:r>
                        <w:rPr>
                          <w:rFonts w:cstheme="minorHAnsi"/>
                          <w:color w:val="000000" w:themeColor="text1"/>
                          <w:sz w:val="28"/>
                          <w:szCs w:val="28"/>
                        </w:rPr>
                        <w:t>The Executive Board gives final agreement to the transfer of the SSLEPs assets and liabilities to the Accountable Body</w:t>
                      </w:r>
                      <w:r w:rsidR="002B2BE8">
                        <w:rPr>
                          <w:rFonts w:cstheme="minorHAnsi"/>
                          <w:color w:val="000000" w:themeColor="text1"/>
                          <w:sz w:val="28"/>
                          <w:szCs w:val="28"/>
                        </w:rPr>
                        <w:t xml:space="preserve"> through the </w:t>
                      </w:r>
                      <w:r w:rsidR="00587C72">
                        <w:rPr>
                          <w:rFonts w:cstheme="minorHAnsi"/>
                          <w:color w:val="000000" w:themeColor="text1"/>
                          <w:sz w:val="28"/>
                          <w:szCs w:val="28"/>
                        </w:rPr>
                        <w:t>completion of the appended asset transfer agreements</w:t>
                      </w:r>
                      <w:r w:rsidR="00212436">
                        <w:rPr>
                          <w:rFonts w:cstheme="minorHAnsi"/>
                          <w:color w:val="000000" w:themeColor="text1"/>
                          <w:sz w:val="28"/>
                          <w:szCs w:val="28"/>
                        </w:rPr>
                        <w:t xml:space="preserve"> and loan assignment notices</w:t>
                      </w:r>
                      <w:r w:rsidR="00587C72">
                        <w:rPr>
                          <w:rFonts w:cstheme="minorHAnsi"/>
                          <w:color w:val="000000" w:themeColor="text1"/>
                          <w:sz w:val="28"/>
                          <w:szCs w:val="28"/>
                        </w:rPr>
                        <w:t>.</w:t>
                      </w:r>
                    </w:p>
                    <w:p w14:paraId="2EEBAB3E" w14:textId="6FD0A3FC" w:rsidR="00D10748" w:rsidRDefault="00D10748">
                      <w:pPr>
                        <w:pStyle w:val="NoSpacing"/>
                        <w:numPr>
                          <w:ilvl w:val="0"/>
                          <w:numId w:val="22"/>
                        </w:numPr>
                        <w:spacing w:before="120"/>
                        <w:jc w:val="both"/>
                        <w:rPr>
                          <w:rFonts w:cstheme="minorHAnsi"/>
                          <w:color w:val="000000" w:themeColor="text1"/>
                          <w:sz w:val="28"/>
                          <w:szCs w:val="28"/>
                        </w:rPr>
                      </w:pPr>
                      <w:r>
                        <w:rPr>
                          <w:rFonts w:cstheme="minorHAnsi"/>
                          <w:color w:val="000000" w:themeColor="text1"/>
                          <w:sz w:val="28"/>
                          <w:szCs w:val="28"/>
                        </w:rPr>
                        <w:t xml:space="preserve">Consider and comment upon the </w:t>
                      </w:r>
                      <w:r w:rsidR="00B52DDF">
                        <w:rPr>
                          <w:rFonts w:cstheme="minorHAnsi"/>
                          <w:color w:val="000000" w:themeColor="text1"/>
                          <w:sz w:val="28"/>
                          <w:szCs w:val="28"/>
                        </w:rPr>
                        <w:t xml:space="preserve">suggested </w:t>
                      </w:r>
                      <w:r w:rsidR="004B41B3">
                        <w:rPr>
                          <w:rFonts w:cstheme="minorHAnsi"/>
                          <w:color w:val="000000" w:themeColor="text1"/>
                          <w:sz w:val="28"/>
                          <w:szCs w:val="28"/>
                        </w:rPr>
                        <w:t xml:space="preserve">principles for the use of the SSLEP reserves as set out in section </w:t>
                      </w:r>
                      <w:r w:rsidR="00EE1A43">
                        <w:rPr>
                          <w:rFonts w:cstheme="minorHAnsi"/>
                          <w:color w:val="000000" w:themeColor="text1"/>
                          <w:sz w:val="28"/>
                          <w:szCs w:val="28"/>
                        </w:rPr>
                        <w:t>5</w:t>
                      </w:r>
                      <w:r w:rsidR="004B41B3">
                        <w:rPr>
                          <w:rFonts w:cstheme="minorHAnsi"/>
                          <w:color w:val="000000" w:themeColor="text1"/>
                          <w:sz w:val="28"/>
                          <w:szCs w:val="28"/>
                        </w:rPr>
                        <w:t>.</w:t>
                      </w:r>
                    </w:p>
                    <w:p w14:paraId="45824B76" w14:textId="139E8571" w:rsidR="00093A18" w:rsidRDefault="006B2347">
                      <w:pPr>
                        <w:pStyle w:val="NoSpacing"/>
                        <w:numPr>
                          <w:ilvl w:val="0"/>
                          <w:numId w:val="22"/>
                        </w:numPr>
                        <w:spacing w:before="120"/>
                        <w:jc w:val="both"/>
                        <w:rPr>
                          <w:rFonts w:cstheme="minorHAnsi"/>
                          <w:color w:val="000000" w:themeColor="text1"/>
                          <w:sz w:val="28"/>
                          <w:szCs w:val="28"/>
                        </w:rPr>
                      </w:pPr>
                      <w:r>
                        <w:rPr>
                          <w:rFonts w:cstheme="minorHAnsi"/>
                          <w:color w:val="000000" w:themeColor="text1"/>
                          <w:sz w:val="28"/>
                          <w:szCs w:val="28"/>
                        </w:rPr>
                        <w:t xml:space="preserve">Note that </w:t>
                      </w:r>
                      <w:r w:rsidR="00F82328">
                        <w:rPr>
                          <w:rFonts w:cstheme="minorHAnsi"/>
                          <w:color w:val="000000" w:themeColor="text1"/>
                          <w:sz w:val="28"/>
                          <w:szCs w:val="28"/>
                        </w:rPr>
                        <w:t>d</w:t>
                      </w:r>
                      <w:r w:rsidR="00F51044" w:rsidRPr="00D10748">
                        <w:rPr>
                          <w:rFonts w:cstheme="minorHAnsi"/>
                          <w:color w:val="000000" w:themeColor="text1"/>
                          <w:sz w:val="28"/>
                          <w:szCs w:val="28"/>
                        </w:rPr>
                        <w:t xml:space="preserve">ecisions relating to the use of the </w:t>
                      </w:r>
                      <w:r w:rsidR="00F82328">
                        <w:rPr>
                          <w:rFonts w:cstheme="minorHAnsi"/>
                          <w:color w:val="000000" w:themeColor="text1"/>
                          <w:sz w:val="28"/>
                          <w:szCs w:val="28"/>
                        </w:rPr>
                        <w:t>SS</w:t>
                      </w:r>
                      <w:r w:rsidR="00F51044" w:rsidRPr="00D10748">
                        <w:rPr>
                          <w:rFonts w:cstheme="minorHAnsi"/>
                          <w:color w:val="000000" w:themeColor="text1"/>
                          <w:sz w:val="28"/>
                          <w:szCs w:val="28"/>
                        </w:rPr>
                        <w:t xml:space="preserve">LEP reserves be undertaken </w:t>
                      </w:r>
                      <w:r w:rsidR="00F82328">
                        <w:rPr>
                          <w:rFonts w:cstheme="minorHAnsi"/>
                          <w:color w:val="000000" w:themeColor="text1"/>
                          <w:sz w:val="28"/>
                          <w:szCs w:val="28"/>
                        </w:rPr>
                        <w:t xml:space="preserve">through the governance </w:t>
                      </w:r>
                      <w:r w:rsidR="00AF7728">
                        <w:rPr>
                          <w:rFonts w:cstheme="minorHAnsi"/>
                          <w:color w:val="000000" w:themeColor="text1"/>
                          <w:sz w:val="28"/>
                          <w:szCs w:val="28"/>
                        </w:rPr>
                        <w:t xml:space="preserve">arrangements set out in section </w:t>
                      </w:r>
                      <w:r w:rsidR="00AA5980">
                        <w:rPr>
                          <w:rFonts w:cstheme="minorHAnsi"/>
                          <w:color w:val="000000" w:themeColor="text1"/>
                          <w:sz w:val="28"/>
                          <w:szCs w:val="28"/>
                        </w:rPr>
                        <w:t>6</w:t>
                      </w:r>
                      <w:r w:rsidR="00101B26">
                        <w:rPr>
                          <w:rFonts w:cstheme="minorHAnsi"/>
                          <w:color w:val="000000" w:themeColor="text1"/>
                          <w:sz w:val="28"/>
                          <w:szCs w:val="28"/>
                        </w:rPr>
                        <w:t>, in line with the principles for the use of the funding</w:t>
                      </w:r>
                      <w:r w:rsidR="00F51044" w:rsidRPr="00D10748">
                        <w:rPr>
                          <w:rFonts w:cstheme="minorHAnsi"/>
                          <w:color w:val="000000" w:themeColor="text1"/>
                          <w:sz w:val="28"/>
                          <w:szCs w:val="28"/>
                        </w:rPr>
                        <w:t>.</w:t>
                      </w:r>
                    </w:p>
                    <w:p w14:paraId="1EA2FD79" w14:textId="6097A66D" w:rsidR="00CF57B1" w:rsidRPr="00BE7FB9" w:rsidRDefault="00CF57B1">
                      <w:pPr>
                        <w:pStyle w:val="NoSpacing"/>
                        <w:numPr>
                          <w:ilvl w:val="0"/>
                          <w:numId w:val="22"/>
                        </w:numPr>
                        <w:spacing w:before="120"/>
                        <w:jc w:val="both"/>
                        <w:rPr>
                          <w:rFonts w:cstheme="minorHAnsi"/>
                          <w:color w:val="000000" w:themeColor="text1"/>
                          <w:sz w:val="28"/>
                          <w:szCs w:val="28"/>
                        </w:rPr>
                      </w:pPr>
                      <w:r w:rsidRPr="00BE7FB9">
                        <w:rPr>
                          <w:rFonts w:cstheme="minorHAnsi"/>
                          <w:color w:val="000000" w:themeColor="text1"/>
                          <w:sz w:val="28"/>
                          <w:szCs w:val="28"/>
                        </w:rPr>
                        <w:t>In advance of the responsibility of funding programmes being</w:t>
                      </w:r>
                      <w:r w:rsidR="0009604A" w:rsidRPr="00BE7FB9">
                        <w:rPr>
                          <w:rFonts w:cstheme="minorHAnsi"/>
                          <w:color w:val="000000" w:themeColor="text1"/>
                          <w:sz w:val="28"/>
                          <w:szCs w:val="28"/>
                        </w:rPr>
                        <w:t xml:space="preserve"> </w:t>
                      </w:r>
                      <w:r w:rsidR="00711AD0" w:rsidRPr="00BE7FB9">
                        <w:rPr>
                          <w:rFonts w:cstheme="minorHAnsi"/>
                          <w:color w:val="000000" w:themeColor="text1"/>
                          <w:sz w:val="28"/>
                          <w:szCs w:val="28"/>
                        </w:rPr>
                        <w:t xml:space="preserve">transferred to the Accountable Body, </w:t>
                      </w:r>
                      <w:r w:rsidR="00E20F03" w:rsidRPr="00BE7FB9">
                        <w:rPr>
                          <w:rFonts w:cstheme="minorHAnsi"/>
                          <w:color w:val="000000" w:themeColor="text1"/>
                          <w:sz w:val="28"/>
                          <w:szCs w:val="28"/>
                        </w:rPr>
                        <w:t xml:space="preserve">it is requested that £861,750 </w:t>
                      </w:r>
                      <w:r w:rsidR="002240D1" w:rsidRPr="00BE7FB9">
                        <w:rPr>
                          <w:rFonts w:cstheme="minorHAnsi"/>
                          <w:color w:val="000000" w:themeColor="text1"/>
                          <w:sz w:val="28"/>
                          <w:szCs w:val="28"/>
                        </w:rPr>
                        <w:t>of the funding allocated to Chatterley Valley West be backdated for spend prior to the Executive Board approval</w:t>
                      </w:r>
                      <w:r w:rsidR="00E20F03" w:rsidRPr="00BE7FB9">
                        <w:rPr>
                          <w:rFonts w:cstheme="minorHAnsi"/>
                          <w:color w:val="000000" w:themeColor="text1"/>
                          <w:sz w:val="28"/>
                          <w:szCs w:val="28"/>
                        </w:rPr>
                        <w:t>.</w:t>
                      </w:r>
                    </w:p>
                    <w:p w14:paraId="3295C516" w14:textId="77777777" w:rsidR="00093A18" w:rsidRPr="00093A18" w:rsidRDefault="00093A18" w:rsidP="00093A18">
                      <w:pPr>
                        <w:rPr>
                          <w:rFonts w:ascii="Verdana" w:hAnsi="Verdana" w:cs="Arial"/>
                          <w:b/>
                          <w:color w:val="000000" w:themeColor="text1"/>
                        </w:rPr>
                      </w:pPr>
                    </w:p>
                    <w:p w14:paraId="36B6A0F4" w14:textId="77777777" w:rsidR="00093A18" w:rsidRDefault="00093A18" w:rsidP="00093A18">
                      <w:pPr>
                        <w:rPr>
                          <w:rFonts w:ascii="Verdana" w:hAnsi="Verdana" w:cs="Arial"/>
                          <w:b/>
                          <w:color w:val="000000" w:themeColor="text1"/>
                        </w:rPr>
                      </w:pPr>
                    </w:p>
                  </w:txbxContent>
                </v:textbox>
                <w10:wrap anchorx="margin"/>
              </v:rect>
            </w:pict>
          </mc:Fallback>
        </mc:AlternateContent>
      </w:r>
    </w:p>
    <w:p w14:paraId="79DF9309" w14:textId="66CFA983" w:rsidR="00093A18" w:rsidRPr="00686CD6" w:rsidRDefault="00093A18" w:rsidP="00686CD6">
      <w:pPr>
        <w:spacing w:after="0" w:line="276" w:lineRule="auto"/>
        <w:rPr>
          <w:rFonts w:ascii="Verdana" w:hAnsi="Verdana" w:cs="Arial"/>
          <w:bCs/>
          <w:sz w:val="24"/>
          <w:szCs w:val="24"/>
        </w:rPr>
      </w:pPr>
    </w:p>
    <w:p w14:paraId="1118BA8E" w14:textId="4CE7F084" w:rsidR="00093A18" w:rsidRPr="00686CD6" w:rsidRDefault="00093A18" w:rsidP="00686CD6">
      <w:pPr>
        <w:spacing w:after="0" w:line="276" w:lineRule="auto"/>
        <w:rPr>
          <w:rFonts w:ascii="Verdana" w:hAnsi="Verdana" w:cs="Arial"/>
          <w:bCs/>
          <w:sz w:val="24"/>
          <w:szCs w:val="24"/>
        </w:rPr>
      </w:pPr>
    </w:p>
    <w:p w14:paraId="1AFDFB7C" w14:textId="3F0E7ADC" w:rsidR="00093A18" w:rsidRPr="00686CD6" w:rsidRDefault="00093A18" w:rsidP="00686CD6">
      <w:pPr>
        <w:pStyle w:val="NoSpacing"/>
        <w:spacing w:line="276" w:lineRule="auto"/>
        <w:ind w:left="720"/>
        <w:jc w:val="both"/>
        <w:rPr>
          <w:b/>
          <w:bCs/>
          <w:sz w:val="24"/>
          <w:szCs w:val="24"/>
        </w:rPr>
      </w:pPr>
    </w:p>
    <w:p w14:paraId="15990251" w14:textId="5E59896B" w:rsidR="00093A18" w:rsidRPr="00686CD6" w:rsidRDefault="00093A18" w:rsidP="00686CD6">
      <w:pPr>
        <w:pStyle w:val="NoSpacing"/>
        <w:spacing w:line="276" w:lineRule="auto"/>
        <w:ind w:left="720"/>
        <w:jc w:val="both"/>
        <w:rPr>
          <w:b/>
          <w:bCs/>
          <w:sz w:val="24"/>
          <w:szCs w:val="24"/>
        </w:rPr>
      </w:pPr>
    </w:p>
    <w:p w14:paraId="0DC671E2" w14:textId="20844CC5" w:rsidR="00093A18" w:rsidRPr="00686CD6" w:rsidRDefault="00093A18" w:rsidP="00686CD6">
      <w:pPr>
        <w:pStyle w:val="NoSpacing"/>
        <w:spacing w:line="276" w:lineRule="auto"/>
        <w:ind w:left="720"/>
        <w:jc w:val="both"/>
        <w:rPr>
          <w:b/>
          <w:bCs/>
          <w:sz w:val="24"/>
          <w:szCs w:val="24"/>
        </w:rPr>
      </w:pPr>
    </w:p>
    <w:p w14:paraId="0944BD9C" w14:textId="1088FFA4" w:rsidR="00093A18" w:rsidRPr="00686CD6" w:rsidRDefault="00093A18" w:rsidP="00686CD6">
      <w:pPr>
        <w:pStyle w:val="NoSpacing"/>
        <w:spacing w:line="276" w:lineRule="auto"/>
        <w:ind w:left="720"/>
        <w:jc w:val="both"/>
        <w:rPr>
          <w:b/>
          <w:bCs/>
          <w:sz w:val="24"/>
          <w:szCs w:val="24"/>
        </w:rPr>
      </w:pPr>
    </w:p>
    <w:p w14:paraId="5B1772F1" w14:textId="77777777" w:rsidR="00093A18" w:rsidRPr="00686CD6" w:rsidRDefault="00093A18" w:rsidP="00686CD6">
      <w:pPr>
        <w:pStyle w:val="NoSpacing"/>
        <w:spacing w:line="276" w:lineRule="auto"/>
        <w:ind w:left="720"/>
        <w:jc w:val="both"/>
        <w:rPr>
          <w:b/>
          <w:bCs/>
          <w:sz w:val="24"/>
          <w:szCs w:val="24"/>
        </w:rPr>
      </w:pPr>
    </w:p>
    <w:p w14:paraId="2532F335" w14:textId="77777777" w:rsidR="00093A18" w:rsidRPr="00686CD6" w:rsidRDefault="00093A18" w:rsidP="00686CD6">
      <w:pPr>
        <w:pStyle w:val="NoSpacing"/>
        <w:spacing w:line="276" w:lineRule="auto"/>
        <w:ind w:left="720"/>
        <w:jc w:val="both"/>
        <w:rPr>
          <w:b/>
          <w:bCs/>
          <w:sz w:val="24"/>
          <w:szCs w:val="24"/>
        </w:rPr>
      </w:pPr>
    </w:p>
    <w:p w14:paraId="22AFE7DD" w14:textId="77777777" w:rsidR="00093A18" w:rsidRPr="00686CD6" w:rsidRDefault="00093A18" w:rsidP="00686CD6">
      <w:pPr>
        <w:pStyle w:val="NoSpacing"/>
        <w:spacing w:line="276" w:lineRule="auto"/>
        <w:ind w:left="720"/>
        <w:jc w:val="both"/>
        <w:rPr>
          <w:b/>
          <w:bCs/>
          <w:sz w:val="24"/>
          <w:szCs w:val="24"/>
        </w:rPr>
      </w:pPr>
    </w:p>
    <w:p w14:paraId="3EC0A55E" w14:textId="77777777" w:rsidR="00093A18" w:rsidRPr="00686CD6" w:rsidRDefault="00093A18" w:rsidP="00686CD6">
      <w:pPr>
        <w:pStyle w:val="NoSpacing"/>
        <w:spacing w:line="276" w:lineRule="auto"/>
        <w:ind w:left="720"/>
        <w:jc w:val="both"/>
        <w:rPr>
          <w:b/>
          <w:bCs/>
          <w:sz w:val="24"/>
          <w:szCs w:val="24"/>
        </w:rPr>
      </w:pPr>
    </w:p>
    <w:p w14:paraId="0E7F5077" w14:textId="77777777" w:rsidR="00093A18" w:rsidRPr="00686CD6" w:rsidRDefault="00093A18" w:rsidP="00686CD6">
      <w:pPr>
        <w:pStyle w:val="NoSpacing"/>
        <w:spacing w:line="276" w:lineRule="auto"/>
        <w:ind w:left="720"/>
        <w:jc w:val="both"/>
        <w:rPr>
          <w:b/>
          <w:bCs/>
          <w:sz w:val="24"/>
          <w:szCs w:val="24"/>
        </w:rPr>
      </w:pPr>
    </w:p>
    <w:p w14:paraId="0C0539FC" w14:textId="77777777" w:rsidR="00093A18" w:rsidRPr="00686CD6" w:rsidRDefault="00093A18" w:rsidP="00686CD6">
      <w:pPr>
        <w:pStyle w:val="NoSpacing"/>
        <w:spacing w:line="276" w:lineRule="auto"/>
        <w:ind w:left="720"/>
        <w:jc w:val="both"/>
        <w:rPr>
          <w:b/>
          <w:bCs/>
          <w:sz w:val="24"/>
          <w:szCs w:val="24"/>
        </w:rPr>
      </w:pPr>
    </w:p>
    <w:p w14:paraId="4ABA852E" w14:textId="77777777" w:rsidR="00093A18" w:rsidRPr="00686CD6" w:rsidRDefault="00093A18" w:rsidP="00686CD6">
      <w:pPr>
        <w:pStyle w:val="NoSpacing"/>
        <w:spacing w:line="276" w:lineRule="auto"/>
        <w:ind w:left="720"/>
        <w:jc w:val="both"/>
        <w:rPr>
          <w:b/>
          <w:bCs/>
          <w:sz w:val="24"/>
          <w:szCs w:val="24"/>
        </w:rPr>
      </w:pPr>
    </w:p>
    <w:p w14:paraId="7D58CC8B" w14:textId="77777777" w:rsidR="00093A18" w:rsidRPr="00686CD6" w:rsidRDefault="00093A18" w:rsidP="00686CD6">
      <w:pPr>
        <w:pStyle w:val="NoSpacing"/>
        <w:spacing w:line="276" w:lineRule="auto"/>
        <w:ind w:left="720"/>
        <w:jc w:val="both"/>
        <w:rPr>
          <w:b/>
          <w:bCs/>
          <w:sz w:val="24"/>
          <w:szCs w:val="24"/>
        </w:rPr>
      </w:pPr>
    </w:p>
    <w:p w14:paraId="28E1D8EA" w14:textId="77777777" w:rsidR="00093A18" w:rsidRPr="00686CD6" w:rsidRDefault="00093A18" w:rsidP="00686CD6">
      <w:pPr>
        <w:pStyle w:val="NoSpacing"/>
        <w:spacing w:line="276" w:lineRule="auto"/>
        <w:ind w:left="720"/>
        <w:jc w:val="both"/>
        <w:rPr>
          <w:b/>
          <w:bCs/>
          <w:sz w:val="24"/>
          <w:szCs w:val="24"/>
        </w:rPr>
      </w:pPr>
    </w:p>
    <w:p w14:paraId="13DA2A80" w14:textId="77777777" w:rsidR="00093A18" w:rsidRPr="00686CD6" w:rsidRDefault="00093A18" w:rsidP="00686CD6">
      <w:pPr>
        <w:pStyle w:val="NoSpacing"/>
        <w:spacing w:line="276" w:lineRule="auto"/>
        <w:ind w:left="720"/>
        <w:jc w:val="both"/>
        <w:rPr>
          <w:b/>
          <w:bCs/>
          <w:sz w:val="24"/>
          <w:szCs w:val="24"/>
        </w:rPr>
      </w:pPr>
    </w:p>
    <w:p w14:paraId="31D298F4" w14:textId="77777777" w:rsidR="00093A18" w:rsidRPr="00686CD6" w:rsidRDefault="00093A18" w:rsidP="00686CD6">
      <w:pPr>
        <w:pStyle w:val="NoSpacing"/>
        <w:spacing w:line="276" w:lineRule="auto"/>
        <w:ind w:left="720"/>
        <w:jc w:val="both"/>
        <w:rPr>
          <w:b/>
          <w:bCs/>
          <w:sz w:val="24"/>
          <w:szCs w:val="24"/>
        </w:rPr>
      </w:pPr>
    </w:p>
    <w:p w14:paraId="523D9BE8" w14:textId="77777777" w:rsidR="00093A18" w:rsidRPr="00686CD6" w:rsidRDefault="00093A18" w:rsidP="00686CD6">
      <w:pPr>
        <w:pStyle w:val="NoSpacing"/>
        <w:spacing w:line="276" w:lineRule="auto"/>
        <w:ind w:left="720"/>
        <w:jc w:val="both"/>
        <w:rPr>
          <w:b/>
          <w:bCs/>
          <w:sz w:val="24"/>
          <w:szCs w:val="24"/>
        </w:rPr>
      </w:pPr>
    </w:p>
    <w:p w14:paraId="413D7D50" w14:textId="77777777" w:rsidR="00093A18" w:rsidRPr="00686CD6" w:rsidRDefault="00093A18" w:rsidP="00686CD6">
      <w:pPr>
        <w:pStyle w:val="NoSpacing"/>
        <w:spacing w:line="276" w:lineRule="auto"/>
        <w:ind w:left="720"/>
        <w:jc w:val="both"/>
        <w:rPr>
          <w:b/>
          <w:bCs/>
          <w:sz w:val="24"/>
          <w:szCs w:val="24"/>
        </w:rPr>
      </w:pPr>
    </w:p>
    <w:p w14:paraId="01C63268" w14:textId="77777777" w:rsidR="00093A18" w:rsidRPr="00686CD6" w:rsidRDefault="00093A18" w:rsidP="00686CD6">
      <w:pPr>
        <w:pStyle w:val="NoSpacing"/>
        <w:spacing w:line="276" w:lineRule="auto"/>
        <w:ind w:left="720"/>
        <w:jc w:val="both"/>
        <w:rPr>
          <w:b/>
          <w:bCs/>
          <w:sz w:val="24"/>
          <w:szCs w:val="24"/>
        </w:rPr>
      </w:pPr>
    </w:p>
    <w:p w14:paraId="2F1BE13C" w14:textId="36506FCC" w:rsidR="00093A18" w:rsidRPr="00686CD6" w:rsidRDefault="00093A18" w:rsidP="00686CD6">
      <w:pPr>
        <w:pStyle w:val="NoSpacing"/>
        <w:spacing w:line="276" w:lineRule="auto"/>
        <w:ind w:left="720"/>
        <w:jc w:val="both"/>
        <w:rPr>
          <w:b/>
          <w:bCs/>
          <w:sz w:val="24"/>
          <w:szCs w:val="24"/>
        </w:rPr>
      </w:pPr>
    </w:p>
    <w:p w14:paraId="46DDAD7D" w14:textId="41558015" w:rsidR="00093A18" w:rsidRPr="00686CD6" w:rsidRDefault="00093A18" w:rsidP="00686CD6">
      <w:pPr>
        <w:pStyle w:val="NoSpacing"/>
        <w:spacing w:line="276" w:lineRule="auto"/>
        <w:ind w:left="720"/>
        <w:jc w:val="both"/>
        <w:rPr>
          <w:b/>
          <w:bCs/>
          <w:sz w:val="24"/>
          <w:szCs w:val="24"/>
        </w:rPr>
      </w:pPr>
    </w:p>
    <w:p w14:paraId="081F8025" w14:textId="3B83CF1A" w:rsidR="00093A18" w:rsidRPr="00686CD6" w:rsidRDefault="00093A18" w:rsidP="00686CD6">
      <w:pPr>
        <w:pStyle w:val="NoSpacing"/>
        <w:spacing w:line="276" w:lineRule="auto"/>
        <w:ind w:left="720"/>
        <w:jc w:val="both"/>
        <w:rPr>
          <w:b/>
          <w:bCs/>
          <w:sz w:val="24"/>
          <w:szCs w:val="24"/>
        </w:rPr>
      </w:pPr>
    </w:p>
    <w:p w14:paraId="51634313" w14:textId="6811028C" w:rsidR="00093A18" w:rsidRPr="00686CD6" w:rsidRDefault="00093A18" w:rsidP="00686CD6">
      <w:pPr>
        <w:pStyle w:val="NoSpacing"/>
        <w:spacing w:line="276" w:lineRule="auto"/>
        <w:ind w:left="720"/>
        <w:jc w:val="both"/>
        <w:rPr>
          <w:b/>
          <w:bCs/>
          <w:sz w:val="24"/>
          <w:szCs w:val="24"/>
        </w:rPr>
      </w:pPr>
    </w:p>
    <w:p w14:paraId="6F9B9C1C" w14:textId="3FC0C38D" w:rsidR="00093A18" w:rsidRPr="00686CD6" w:rsidRDefault="00093A18" w:rsidP="00686CD6">
      <w:pPr>
        <w:pStyle w:val="NoSpacing"/>
        <w:spacing w:line="276" w:lineRule="auto"/>
        <w:ind w:left="720"/>
        <w:jc w:val="both"/>
        <w:rPr>
          <w:b/>
          <w:bCs/>
          <w:sz w:val="24"/>
          <w:szCs w:val="24"/>
        </w:rPr>
      </w:pPr>
    </w:p>
    <w:p w14:paraId="611AC8EB" w14:textId="5B9AD143" w:rsidR="00093A18" w:rsidRPr="00686CD6" w:rsidRDefault="00093A18" w:rsidP="00686CD6">
      <w:pPr>
        <w:pStyle w:val="NoSpacing"/>
        <w:spacing w:line="276" w:lineRule="auto"/>
        <w:ind w:left="720"/>
        <w:jc w:val="both"/>
        <w:rPr>
          <w:b/>
          <w:bCs/>
          <w:sz w:val="24"/>
          <w:szCs w:val="24"/>
        </w:rPr>
      </w:pPr>
    </w:p>
    <w:p w14:paraId="6486266C" w14:textId="56BF62EE" w:rsidR="00093A18" w:rsidRPr="00686CD6" w:rsidRDefault="00093A18" w:rsidP="00686CD6">
      <w:pPr>
        <w:pStyle w:val="NoSpacing"/>
        <w:spacing w:line="276" w:lineRule="auto"/>
        <w:jc w:val="both"/>
        <w:rPr>
          <w:b/>
          <w:bCs/>
          <w:sz w:val="24"/>
          <w:szCs w:val="24"/>
        </w:rPr>
      </w:pPr>
    </w:p>
    <w:p w14:paraId="07431AC8" w14:textId="77777777" w:rsidR="00BF50C9" w:rsidRPr="00686CD6" w:rsidRDefault="00BF50C9" w:rsidP="00686CD6">
      <w:pPr>
        <w:pStyle w:val="NoSpacing"/>
        <w:spacing w:line="276" w:lineRule="auto"/>
        <w:jc w:val="both"/>
        <w:rPr>
          <w:b/>
          <w:bCs/>
          <w:sz w:val="24"/>
          <w:szCs w:val="24"/>
        </w:rPr>
      </w:pPr>
    </w:p>
    <w:p w14:paraId="1736AFDA" w14:textId="2804EF6D" w:rsidR="00093A18" w:rsidRPr="00686CD6" w:rsidRDefault="00093A18" w:rsidP="00686CD6">
      <w:pPr>
        <w:pStyle w:val="NoSpacing"/>
        <w:spacing w:line="276" w:lineRule="auto"/>
        <w:ind w:left="720"/>
        <w:jc w:val="both"/>
        <w:rPr>
          <w:b/>
          <w:bCs/>
          <w:sz w:val="24"/>
          <w:szCs w:val="24"/>
        </w:rPr>
      </w:pPr>
    </w:p>
    <w:p w14:paraId="6061E909" w14:textId="2735E034" w:rsidR="00093A18" w:rsidRDefault="00093A18" w:rsidP="00686CD6">
      <w:pPr>
        <w:pStyle w:val="NoSpacing"/>
        <w:spacing w:line="276" w:lineRule="auto"/>
        <w:ind w:left="720"/>
        <w:jc w:val="both"/>
        <w:rPr>
          <w:b/>
          <w:bCs/>
          <w:sz w:val="24"/>
          <w:szCs w:val="24"/>
        </w:rPr>
      </w:pPr>
    </w:p>
    <w:p w14:paraId="5ADFBB83" w14:textId="77777777" w:rsidR="00C46670" w:rsidRPr="00686CD6" w:rsidRDefault="00C46670" w:rsidP="00686CD6">
      <w:pPr>
        <w:pStyle w:val="NoSpacing"/>
        <w:spacing w:line="276" w:lineRule="auto"/>
        <w:ind w:left="720"/>
        <w:jc w:val="both"/>
        <w:rPr>
          <w:b/>
          <w:bCs/>
          <w:sz w:val="24"/>
          <w:szCs w:val="24"/>
        </w:rPr>
      </w:pPr>
    </w:p>
    <w:p w14:paraId="30F87AE4" w14:textId="77777777" w:rsidR="0033715D" w:rsidRDefault="00BF50C9" w:rsidP="0033715D">
      <w:pPr>
        <w:pStyle w:val="Footer"/>
        <w:spacing w:line="276" w:lineRule="auto"/>
        <w:jc w:val="right"/>
        <w:rPr>
          <w:sz w:val="24"/>
          <w:szCs w:val="24"/>
        </w:rPr>
      </w:pPr>
      <w:r w:rsidRPr="00686CD6">
        <w:rPr>
          <w:sz w:val="24"/>
          <w:szCs w:val="24"/>
        </w:rPr>
        <w:t>Report Author</w:t>
      </w:r>
      <w:r w:rsidR="00665991">
        <w:rPr>
          <w:sz w:val="24"/>
          <w:szCs w:val="24"/>
        </w:rPr>
        <w:t>s</w:t>
      </w:r>
      <w:r w:rsidRPr="00686CD6">
        <w:rPr>
          <w:sz w:val="24"/>
          <w:szCs w:val="24"/>
        </w:rPr>
        <w:t xml:space="preserve">: </w:t>
      </w:r>
      <w:r w:rsidR="0033715D">
        <w:rPr>
          <w:sz w:val="24"/>
          <w:szCs w:val="24"/>
        </w:rPr>
        <w:t xml:space="preserve">Darryl Eyers, Director for Economy, Infrastructure &amp; Skills, SCC </w:t>
      </w:r>
    </w:p>
    <w:p w14:paraId="478F4D73" w14:textId="77777777" w:rsidR="0033715D" w:rsidRDefault="0033715D" w:rsidP="0033715D">
      <w:pPr>
        <w:pStyle w:val="Footer"/>
        <w:spacing w:line="276" w:lineRule="auto"/>
        <w:jc w:val="right"/>
        <w:rPr>
          <w:sz w:val="24"/>
          <w:szCs w:val="24"/>
        </w:rPr>
      </w:pPr>
      <w:r>
        <w:rPr>
          <w:color w:val="000000"/>
          <w:sz w:val="24"/>
          <w:szCs w:val="24"/>
          <w:lang w:eastAsia="en-GB"/>
        </w:rPr>
        <w:t xml:space="preserve">Angela Glithero, Assistant Director – Strategy, </w:t>
      </w:r>
      <w:proofErr w:type="gramStart"/>
      <w:r>
        <w:rPr>
          <w:color w:val="000000"/>
          <w:sz w:val="24"/>
          <w:szCs w:val="24"/>
          <w:lang w:eastAsia="en-GB"/>
        </w:rPr>
        <w:t>Economy</w:t>
      </w:r>
      <w:proofErr w:type="gramEnd"/>
      <w:r>
        <w:rPr>
          <w:color w:val="000000"/>
          <w:sz w:val="24"/>
          <w:szCs w:val="24"/>
          <w:lang w:eastAsia="en-GB"/>
        </w:rPr>
        <w:t xml:space="preserve"> and Communications, SoTCC</w:t>
      </w:r>
    </w:p>
    <w:p w14:paraId="389567E4" w14:textId="5ACC11AF" w:rsidR="00BF50C9" w:rsidRDefault="0033715D" w:rsidP="00686CD6">
      <w:pPr>
        <w:pStyle w:val="Footer"/>
        <w:spacing w:line="276" w:lineRule="auto"/>
        <w:jc w:val="right"/>
        <w:rPr>
          <w:sz w:val="24"/>
          <w:szCs w:val="24"/>
        </w:rPr>
      </w:pPr>
      <w:r>
        <w:rPr>
          <w:sz w:val="24"/>
          <w:szCs w:val="24"/>
        </w:rPr>
        <w:t>6</w:t>
      </w:r>
      <w:r w:rsidRPr="0033715D">
        <w:rPr>
          <w:sz w:val="24"/>
          <w:szCs w:val="24"/>
          <w:vertAlign w:val="superscript"/>
        </w:rPr>
        <w:t>th</w:t>
      </w:r>
      <w:r>
        <w:rPr>
          <w:sz w:val="24"/>
          <w:szCs w:val="24"/>
        </w:rPr>
        <w:t xml:space="preserve"> March 2024</w:t>
      </w:r>
    </w:p>
    <w:p w14:paraId="7CE38E02" w14:textId="754A9690" w:rsidR="005411A4" w:rsidRDefault="005B4A79" w:rsidP="00F42D4A">
      <w:pPr>
        <w:pStyle w:val="NoSpacing"/>
        <w:numPr>
          <w:ilvl w:val="0"/>
          <w:numId w:val="10"/>
        </w:numPr>
        <w:spacing w:line="276" w:lineRule="auto"/>
        <w:ind w:left="567" w:hanging="567"/>
        <w:jc w:val="both"/>
        <w:rPr>
          <w:b/>
          <w:bCs/>
          <w:sz w:val="24"/>
          <w:szCs w:val="24"/>
        </w:rPr>
      </w:pPr>
      <w:r w:rsidRPr="00686CD6">
        <w:rPr>
          <w:b/>
          <w:bCs/>
          <w:sz w:val="24"/>
          <w:szCs w:val="24"/>
        </w:rPr>
        <w:lastRenderedPageBreak/>
        <w:t>Background</w:t>
      </w:r>
    </w:p>
    <w:p w14:paraId="0691AD03" w14:textId="33E8A62A" w:rsidR="00F42D4A" w:rsidRPr="0056756C" w:rsidRDefault="00F42D4A" w:rsidP="003947EA">
      <w:pPr>
        <w:pStyle w:val="NoSpacing"/>
        <w:spacing w:line="276" w:lineRule="auto"/>
        <w:ind w:left="567"/>
        <w:jc w:val="both"/>
        <w:rPr>
          <w:sz w:val="24"/>
          <w:szCs w:val="24"/>
        </w:rPr>
      </w:pPr>
    </w:p>
    <w:p w14:paraId="07B17A33" w14:textId="77777777" w:rsidR="007A3435" w:rsidRDefault="00EC58E6" w:rsidP="007A3435">
      <w:pPr>
        <w:pStyle w:val="NoSpacing"/>
        <w:numPr>
          <w:ilvl w:val="1"/>
          <w:numId w:val="10"/>
        </w:numPr>
        <w:spacing w:line="276" w:lineRule="auto"/>
        <w:ind w:left="567" w:hanging="567"/>
        <w:jc w:val="both"/>
        <w:rPr>
          <w:sz w:val="24"/>
          <w:szCs w:val="24"/>
        </w:rPr>
      </w:pPr>
      <w:r w:rsidRPr="00EC58E6">
        <w:rPr>
          <w:sz w:val="24"/>
          <w:szCs w:val="24"/>
        </w:rPr>
        <w:t xml:space="preserve">The principle of the closure of the SSLEP </w:t>
      </w:r>
      <w:r w:rsidR="00586A06">
        <w:rPr>
          <w:sz w:val="24"/>
          <w:szCs w:val="24"/>
        </w:rPr>
        <w:t xml:space="preserve">was agreed by all </w:t>
      </w:r>
      <w:r w:rsidR="0042258A">
        <w:rPr>
          <w:sz w:val="24"/>
          <w:szCs w:val="24"/>
        </w:rPr>
        <w:t>members of the Executive Board through the Electr</w:t>
      </w:r>
      <w:r w:rsidR="003F6664">
        <w:rPr>
          <w:sz w:val="24"/>
          <w:szCs w:val="24"/>
        </w:rPr>
        <w:t>onic Procedure in September / October</w:t>
      </w:r>
      <w:r w:rsidR="007B4003">
        <w:rPr>
          <w:sz w:val="24"/>
          <w:szCs w:val="24"/>
        </w:rPr>
        <w:t xml:space="preserve"> 2023.  This included agreement to </w:t>
      </w:r>
      <w:r w:rsidR="009D4A47">
        <w:rPr>
          <w:sz w:val="24"/>
          <w:szCs w:val="24"/>
        </w:rPr>
        <w:t xml:space="preserve">recommendation on </w:t>
      </w:r>
      <w:r w:rsidR="007B4003">
        <w:rPr>
          <w:sz w:val="24"/>
          <w:szCs w:val="24"/>
        </w:rPr>
        <w:t xml:space="preserve">the transfer of the </w:t>
      </w:r>
      <w:r w:rsidR="009D4A47">
        <w:rPr>
          <w:sz w:val="24"/>
          <w:szCs w:val="24"/>
        </w:rPr>
        <w:t>SSLEPs assets, namely:</w:t>
      </w:r>
    </w:p>
    <w:p w14:paraId="0F10ECD9" w14:textId="77777777" w:rsidR="007A3435" w:rsidRDefault="007A3435" w:rsidP="007A3435">
      <w:pPr>
        <w:pStyle w:val="NoSpacing"/>
        <w:spacing w:line="276" w:lineRule="auto"/>
        <w:ind w:left="567" w:hanging="567"/>
        <w:jc w:val="both"/>
        <w:rPr>
          <w:sz w:val="24"/>
          <w:szCs w:val="24"/>
        </w:rPr>
      </w:pPr>
    </w:p>
    <w:p w14:paraId="436AA5BA" w14:textId="3EA9B1A5" w:rsidR="005322F0" w:rsidRPr="007A3435" w:rsidRDefault="009D4A47" w:rsidP="007A3435">
      <w:pPr>
        <w:pStyle w:val="NoSpacing"/>
        <w:numPr>
          <w:ilvl w:val="1"/>
          <w:numId w:val="10"/>
        </w:numPr>
        <w:spacing w:line="276" w:lineRule="auto"/>
        <w:ind w:left="567" w:hanging="567"/>
        <w:jc w:val="both"/>
        <w:rPr>
          <w:sz w:val="24"/>
          <w:szCs w:val="24"/>
        </w:rPr>
      </w:pPr>
      <w:r w:rsidRPr="007A3435">
        <w:rPr>
          <w:i/>
          <w:iCs/>
          <w:sz w:val="24"/>
          <w:szCs w:val="24"/>
        </w:rPr>
        <w:t>“</w:t>
      </w:r>
      <w:r w:rsidR="005322F0" w:rsidRPr="007A3435">
        <w:rPr>
          <w:i/>
          <w:iCs/>
          <w:sz w:val="24"/>
          <w:szCs w:val="24"/>
        </w:rPr>
        <w:t xml:space="preserve">The SSLEPs functions and assets to be transferred to the Accountable Body, </w:t>
      </w:r>
      <w:bookmarkStart w:id="0" w:name="_Hlk152858181"/>
      <w:r w:rsidR="005322F0" w:rsidRPr="007A3435">
        <w:rPr>
          <w:i/>
          <w:iCs/>
          <w:sz w:val="24"/>
          <w:szCs w:val="24"/>
        </w:rPr>
        <w:t>in line with Government guidance and in consultation with Stoke-on-Trent City Council</w:t>
      </w:r>
      <w:bookmarkEnd w:id="0"/>
      <w:r w:rsidR="005322F0" w:rsidRPr="007A3435">
        <w:rPr>
          <w:i/>
          <w:iCs/>
          <w:sz w:val="24"/>
          <w:szCs w:val="24"/>
        </w:rPr>
        <w:t xml:space="preserve"> (SoTCC).</w:t>
      </w:r>
      <w:r w:rsidRPr="007A3435">
        <w:rPr>
          <w:i/>
          <w:iCs/>
          <w:sz w:val="24"/>
          <w:szCs w:val="24"/>
        </w:rPr>
        <w:t>”</w:t>
      </w:r>
    </w:p>
    <w:p w14:paraId="3E2B4DA0" w14:textId="77777777" w:rsidR="00EC58E6" w:rsidRPr="00EC58E6" w:rsidRDefault="00EC58E6" w:rsidP="007A3435">
      <w:pPr>
        <w:pStyle w:val="NoSpacing"/>
        <w:spacing w:line="276" w:lineRule="auto"/>
        <w:ind w:left="567" w:hanging="567"/>
        <w:jc w:val="both"/>
        <w:rPr>
          <w:sz w:val="24"/>
          <w:szCs w:val="24"/>
        </w:rPr>
      </w:pPr>
    </w:p>
    <w:p w14:paraId="21314C6B" w14:textId="77777777" w:rsidR="007A3435" w:rsidRDefault="00B61DC5" w:rsidP="007A3435">
      <w:pPr>
        <w:pStyle w:val="NoSpacing"/>
        <w:numPr>
          <w:ilvl w:val="1"/>
          <w:numId w:val="10"/>
        </w:numPr>
        <w:spacing w:line="276" w:lineRule="auto"/>
        <w:ind w:left="567" w:hanging="567"/>
        <w:jc w:val="both"/>
        <w:rPr>
          <w:sz w:val="24"/>
          <w:szCs w:val="24"/>
        </w:rPr>
      </w:pPr>
      <w:r>
        <w:rPr>
          <w:sz w:val="24"/>
          <w:szCs w:val="24"/>
        </w:rPr>
        <w:t>The Executive Board also agreed that:</w:t>
      </w:r>
    </w:p>
    <w:p w14:paraId="7B4D7245" w14:textId="77777777" w:rsidR="007A3435" w:rsidRDefault="007A3435" w:rsidP="007A3435">
      <w:pPr>
        <w:pStyle w:val="ListParagraph"/>
        <w:ind w:left="567" w:hanging="567"/>
        <w:rPr>
          <w:i/>
          <w:iCs/>
          <w:szCs w:val="24"/>
        </w:rPr>
      </w:pPr>
    </w:p>
    <w:p w14:paraId="14576F94" w14:textId="3388C66F" w:rsidR="00B61DC5" w:rsidRPr="007A3435" w:rsidRDefault="001E4345" w:rsidP="007A3435">
      <w:pPr>
        <w:pStyle w:val="NoSpacing"/>
        <w:numPr>
          <w:ilvl w:val="1"/>
          <w:numId w:val="10"/>
        </w:numPr>
        <w:spacing w:line="276" w:lineRule="auto"/>
        <w:ind w:left="567" w:hanging="567"/>
        <w:jc w:val="both"/>
        <w:rPr>
          <w:sz w:val="24"/>
          <w:szCs w:val="24"/>
        </w:rPr>
      </w:pPr>
      <w:r w:rsidRPr="007A3435">
        <w:rPr>
          <w:i/>
          <w:iCs/>
          <w:sz w:val="24"/>
          <w:szCs w:val="24"/>
        </w:rPr>
        <w:t>“</w:t>
      </w:r>
      <w:r w:rsidR="00B61DC5" w:rsidRPr="007A3435">
        <w:rPr>
          <w:i/>
          <w:iCs/>
          <w:sz w:val="24"/>
          <w:szCs w:val="24"/>
        </w:rPr>
        <w:t>The principles and governance over these functions and assets to be considered by the Executive Board and the two upper-tier local authorities (Staffordshire County Council [SCC] and SoTCC).</w:t>
      </w:r>
      <w:r w:rsidRPr="007A3435">
        <w:rPr>
          <w:i/>
          <w:iCs/>
          <w:sz w:val="24"/>
          <w:szCs w:val="24"/>
        </w:rPr>
        <w:t>”</w:t>
      </w:r>
    </w:p>
    <w:p w14:paraId="158BFCAD" w14:textId="77777777" w:rsidR="00B61DC5" w:rsidRDefault="00B61DC5" w:rsidP="007A3435">
      <w:pPr>
        <w:pStyle w:val="NoSpacing"/>
        <w:spacing w:line="276" w:lineRule="auto"/>
        <w:ind w:left="567" w:hanging="567"/>
        <w:jc w:val="both"/>
        <w:rPr>
          <w:sz w:val="24"/>
          <w:szCs w:val="24"/>
        </w:rPr>
      </w:pPr>
    </w:p>
    <w:p w14:paraId="565A3A07" w14:textId="7D93FBF6" w:rsidR="001E4345" w:rsidRDefault="001E4345" w:rsidP="007A3435">
      <w:pPr>
        <w:pStyle w:val="NoSpacing"/>
        <w:numPr>
          <w:ilvl w:val="1"/>
          <w:numId w:val="10"/>
        </w:numPr>
        <w:spacing w:line="276" w:lineRule="auto"/>
        <w:ind w:left="567" w:hanging="567"/>
        <w:jc w:val="both"/>
        <w:rPr>
          <w:sz w:val="24"/>
          <w:szCs w:val="24"/>
        </w:rPr>
      </w:pPr>
      <w:r>
        <w:rPr>
          <w:sz w:val="24"/>
          <w:szCs w:val="24"/>
        </w:rPr>
        <w:t xml:space="preserve">This report therefore </w:t>
      </w:r>
      <w:r w:rsidR="000A2E49">
        <w:rPr>
          <w:sz w:val="24"/>
          <w:szCs w:val="24"/>
        </w:rPr>
        <w:t>recommends that the Executive Board</w:t>
      </w:r>
      <w:r w:rsidR="004E6465">
        <w:rPr>
          <w:sz w:val="24"/>
          <w:szCs w:val="24"/>
        </w:rPr>
        <w:t xml:space="preserve"> gives final approval to the transfer of the assets and liabilities of the </w:t>
      </w:r>
      <w:r w:rsidR="00E725FE">
        <w:rPr>
          <w:sz w:val="24"/>
          <w:szCs w:val="24"/>
        </w:rPr>
        <w:t xml:space="preserve">SSLEP to the Accountable Body </w:t>
      </w:r>
      <w:r w:rsidR="00FB3F3A">
        <w:rPr>
          <w:sz w:val="24"/>
          <w:szCs w:val="24"/>
        </w:rPr>
        <w:t xml:space="preserve">through the appended asset </w:t>
      </w:r>
      <w:r w:rsidR="00CD60A6">
        <w:rPr>
          <w:sz w:val="24"/>
          <w:szCs w:val="24"/>
        </w:rPr>
        <w:t>transfer agreement</w:t>
      </w:r>
      <w:r w:rsidR="00212436">
        <w:rPr>
          <w:sz w:val="24"/>
          <w:szCs w:val="24"/>
        </w:rPr>
        <w:t xml:space="preserve"> and loan assignment notice</w:t>
      </w:r>
      <w:r w:rsidR="00CD60A6">
        <w:rPr>
          <w:sz w:val="24"/>
          <w:szCs w:val="24"/>
        </w:rPr>
        <w:t xml:space="preserve">.  The report also </w:t>
      </w:r>
      <w:r w:rsidR="0029682F">
        <w:rPr>
          <w:sz w:val="24"/>
          <w:szCs w:val="24"/>
        </w:rPr>
        <w:t>considers</w:t>
      </w:r>
      <w:r>
        <w:rPr>
          <w:sz w:val="24"/>
          <w:szCs w:val="24"/>
        </w:rPr>
        <w:t xml:space="preserve"> th</w:t>
      </w:r>
      <w:r w:rsidR="0029682F">
        <w:rPr>
          <w:sz w:val="24"/>
          <w:szCs w:val="24"/>
        </w:rPr>
        <w:t>e</w:t>
      </w:r>
      <w:r>
        <w:rPr>
          <w:sz w:val="24"/>
          <w:szCs w:val="24"/>
        </w:rPr>
        <w:t xml:space="preserve"> principles</w:t>
      </w:r>
      <w:r w:rsidR="00C36E2B">
        <w:rPr>
          <w:sz w:val="24"/>
          <w:szCs w:val="24"/>
        </w:rPr>
        <w:t xml:space="preserve"> for how these assets will be used and the governance for how th</w:t>
      </w:r>
      <w:r w:rsidR="00BF0C87">
        <w:rPr>
          <w:sz w:val="24"/>
          <w:szCs w:val="24"/>
        </w:rPr>
        <w:t>ey</w:t>
      </w:r>
      <w:r w:rsidR="00C36E2B">
        <w:rPr>
          <w:sz w:val="24"/>
          <w:szCs w:val="24"/>
        </w:rPr>
        <w:t xml:space="preserve"> will be managed.</w:t>
      </w:r>
    </w:p>
    <w:p w14:paraId="379153D3" w14:textId="77777777" w:rsidR="00C36E2B" w:rsidRDefault="00C36E2B" w:rsidP="007A3435">
      <w:pPr>
        <w:pStyle w:val="NoSpacing"/>
        <w:spacing w:line="276" w:lineRule="auto"/>
        <w:ind w:left="567" w:hanging="567"/>
        <w:jc w:val="both"/>
        <w:rPr>
          <w:sz w:val="24"/>
          <w:szCs w:val="24"/>
        </w:rPr>
      </w:pPr>
    </w:p>
    <w:p w14:paraId="37908B54" w14:textId="7F60A194" w:rsidR="00A179EE" w:rsidRDefault="00A179EE" w:rsidP="007A3435">
      <w:pPr>
        <w:pStyle w:val="NoSpacing"/>
        <w:numPr>
          <w:ilvl w:val="0"/>
          <w:numId w:val="10"/>
        </w:numPr>
        <w:spacing w:line="276" w:lineRule="auto"/>
        <w:ind w:left="567" w:hanging="567"/>
        <w:jc w:val="both"/>
        <w:rPr>
          <w:b/>
          <w:bCs/>
          <w:sz w:val="24"/>
          <w:szCs w:val="24"/>
        </w:rPr>
      </w:pPr>
      <w:r>
        <w:rPr>
          <w:b/>
          <w:bCs/>
          <w:sz w:val="24"/>
          <w:szCs w:val="24"/>
        </w:rPr>
        <w:t>Government Guidance</w:t>
      </w:r>
    </w:p>
    <w:p w14:paraId="2834BFE9" w14:textId="299C7C30" w:rsidR="00A179EE" w:rsidRDefault="00A179EE" w:rsidP="00DC58E3">
      <w:pPr>
        <w:pStyle w:val="NoSpacing"/>
        <w:spacing w:line="276" w:lineRule="auto"/>
        <w:ind w:left="720"/>
        <w:jc w:val="both"/>
        <w:rPr>
          <w:b/>
          <w:bCs/>
          <w:sz w:val="24"/>
          <w:szCs w:val="24"/>
        </w:rPr>
      </w:pPr>
    </w:p>
    <w:p w14:paraId="255D5429" w14:textId="761710DF" w:rsidR="009C0B5A" w:rsidRPr="00EC58E6" w:rsidRDefault="009C0B5A" w:rsidP="009C0B5A">
      <w:pPr>
        <w:pStyle w:val="NoSpacing"/>
        <w:numPr>
          <w:ilvl w:val="1"/>
          <w:numId w:val="10"/>
        </w:numPr>
        <w:spacing w:line="276" w:lineRule="auto"/>
        <w:ind w:left="567" w:hanging="567"/>
        <w:jc w:val="both"/>
        <w:rPr>
          <w:sz w:val="24"/>
          <w:szCs w:val="24"/>
        </w:rPr>
      </w:pPr>
      <w:r w:rsidRPr="00EC58E6">
        <w:rPr>
          <w:sz w:val="24"/>
          <w:szCs w:val="24"/>
        </w:rPr>
        <w:t>Government guidance on the use of reserves is limited.  However</w:t>
      </w:r>
      <w:r w:rsidR="00A46C23">
        <w:rPr>
          <w:sz w:val="24"/>
          <w:szCs w:val="24"/>
        </w:rPr>
        <w:t>, the Government guidance on the</w:t>
      </w:r>
      <w:r w:rsidRPr="00EC58E6">
        <w:rPr>
          <w:sz w:val="24"/>
          <w:szCs w:val="24"/>
        </w:rPr>
        <w:t xml:space="preserve"> integration of LEP functions into local democratic institutions does state</w:t>
      </w:r>
      <w:r w:rsidR="005729BB">
        <w:rPr>
          <w:sz w:val="24"/>
          <w:szCs w:val="24"/>
        </w:rPr>
        <w:t xml:space="preserve"> that the:</w:t>
      </w:r>
    </w:p>
    <w:p w14:paraId="08727EFE" w14:textId="77777777" w:rsidR="009C0B5A" w:rsidRPr="00EC58E6" w:rsidRDefault="009C0B5A" w:rsidP="009C0B5A">
      <w:pPr>
        <w:pStyle w:val="NoSpacing"/>
        <w:spacing w:line="276" w:lineRule="auto"/>
        <w:ind w:left="567" w:hanging="567"/>
        <w:jc w:val="both"/>
        <w:rPr>
          <w:sz w:val="24"/>
          <w:szCs w:val="24"/>
        </w:rPr>
      </w:pPr>
    </w:p>
    <w:p w14:paraId="2B7E7E70" w14:textId="12B8C76B" w:rsidR="009C0B5A" w:rsidRPr="00B23D75" w:rsidRDefault="005729BB" w:rsidP="009C0B5A">
      <w:pPr>
        <w:pStyle w:val="NoSpacing"/>
        <w:numPr>
          <w:ilvl w:val="1"/>
          <w:numId w:val="10"/>
        </w:numPr>
        <w:spacing w:line="276" w:lineRule="auto"/>
        <w:ind w:left="567" w:hanging="567"/>
        <w:jc w:val="both"/>
        <w:rPr>
          <w:i/>
          <w:iCs/>
          <w:sz w:val="24"/>
          <w:szCs w:val="24"/>
        </w:rPr>
      </w:pPr>
      <w:r w:rsidRPr="00B23D75">
        <w:rPr>
          <w:i/>
          <w:iCs/>
          <w:sz w:val="24"/>
          <w:szCs w:val="24"/>
        </w:rPr>
        <w:t>“</w:t>
      </w:r>
      <w:r w:rsidR="009C0B5A" w:rsidRPr="00B23D75">
        <w:rPr>
          <w:i/>
          <w:iCs/>
          <w:sz w:val="24"/>
          <w:szCs w:val="24"/>
        </w:rPr>
        <w:t>Management and transfer of any LEP assets should be agreed locally between the LEP and its Accountable Body, in line with any pre-existing arrangements and in accordance with any legal requirements.</w:t>
      </w:r>
      <w:r w:rsidRPr="00B23D75">
        <w:rPr>
          <w:i/>
          <w:iCs/>
          <w:sz w:val="24"/>
          <w:szCs w:val="24"/>
        </w:rPr>
        <w:t xml:space="preserve"> </w:t>
      </w:r>
      <w:r w:rsidR="009C0B5A" w:rsidRPr="00B23D75">
        <w:rPr>
          <w:i/>
          <w:iCs/>
          <w:sz w:val="24"/>
          <w:szCs w:val="24"/>
        </w:rPr>
        <w:t xml:space="preserve"> Where there are no existing arrangements, government expects that any reserves and assets built up using public funds will remain within the public domain (i.e. transferred to the relevant local authority or authorities).</w:t>
      </w:r>
      <w:r w:rsidRPr="00B23D75">
        <w:rPr>
          <w:i/>
          <w:iCs/>
          <w:sz w:val="24"/>
          <w:szCs w:val="24"/>
        </w:rPr>
        <w:t>”</w:t>
      </w:r>
    </w:p>
    <w:p w14:paraId="53735A16" w14:textId="77777777" w:rsidR="009C0B5A" w:rsidRDefault="009C0B5A" w:rsidP="009C0B5A">
      <w:pPr>
        <w:pStyle w:val="NoSpacing"/>
        <w:spacing w:line="276" w:lineRule="auto"/>
        <w:ind w:left="567"/>
        <w:jc w:val="both"/>
        <w:rPr>
          <w:b/>
          <w:bCs/>
          <w:sz w:val="24"/>
          <w:szCs w:val="24"/>
        </w:rPr>
      </w:pPr>
    </w:p>
    <w:p w14:paraId="6A986C0A" w14:textId="21C6673D" w:rsidR="00C36E2B" w:rsidRPr="00725F6A" w:rsidRDefault="00AD2C33" w:rsidP="007A3435">
      <w:pPr>
        <w:pStyle w:val="NoSpacing"/>
        <w:numPr>
          <w:ilvl w:val="0"/>
          <w:numId w:val="10"/>
        </w:numPr>
        <w:spacing w:line="276" w:lineRule="auto"/>
        <w:ind w:left="567" w:hanging="567"/>
        <w:jc w:val="both"/>
        <w:rPr>
          <w:b/>
          <w:bCs/>
          <w:sz w:val="24"/>
          <w:szCs w:val="24"/>
        </w:rPr>
      </w:pPr>
      <w:r>
        <w:rPr>
          <w:b/>
          <w:bCs/>
          <w:sz w:val="24"/>
          <w:szCs w:val="24"/>
        </w:rPr>
        <w:t>Current Situation</w:t>
      </w:r>
    </w:p>
    <w:p w14:paraId="7475B90F" w14:textId="77777777" w:rsidR="00C36E2B" w:rsidRDefault="00C36E2B" w:rsidP="007A3435">
      <w:pPr>
        <w:pStyle w:val="ListParagraph"/>
        <w:ind w:left="567" w:hanging="567"/>
        <w:rPr>
          <w:szCs w:val="24"/>
        </w:rPr>
      </w:pPr>
    </w:p>
    <w:p w14:paraId="1E4DDAC1" w14:textId="5D4992FA" w:rsidR="00EC58E6" w:rsidRPr="00EC58E6" w:rsidRDefault="009D4A47" w:rsidP="007A3435">
      <w:pPr>
        <w:pStyle w:val="NoSpacing"/>
        <w:numPr>
          <w:ilvl w:val="1"/>
          <w:numId w:val="10"/>
        </w:numPr>
        <w:spacing w:line="276" w:lineRule="auto"/>
        <w:ind w:left="567" w:hanging="567"/>
        <w:jc w:val="both"/>
        <w:rPr>
          <w:sz w:val="24"/>
          <w:szCs w:val="24"/>
        </w:rPr>
      </w:pPr>
      <w:r>
        <w:rPr>
          <w:sz w:val="24"/>
          <w:szCs w:val="24"/>
        </w:rPr>
        <w:t xml:space="preserve">The </w:t>
      </w:r>
      <w:r w:rsidR="00EC58E6" w:rsidRPr="00EC58E6">
        <w:rPr>
          <w:sz w:val="24"/>
          <w:szCs w:val="24"/>
        </w:rPr>
        <w:t>SSLEP has always made very considered investment decisions based on project merit.  Through that careful management of public funds</w:t>
      </w:r>
      <w:r w:rsidR="001E5B46">
        <w:rPr>
          <w:sz w:val="24"/>
          <w:szCs w:val="24"/>
        </w:rPr>
        <w:t>,</w:t>
      </w:r>
      <w:r w:rsidR="00EC58E6" w:rsidRPr="00EC58E6">
        <w:rPr>
          <w:sz w:val="24"/>
          <w:szCs w:val="24"/>
        </w:rPr>
        <w:t xml:space="preserve"> it has buil</w:t>
      </w:r>
      <w:r w:rsidR="001E5B46">
        <w:rPr>
          <w:sz w:val="24"/>
          <w:szCs w:val="24"/>
        </w:rPr>
        <w:t>t</w:t>
      </w:r>
      <w:r w:rsidR="00EC58E6" w:rsidRPr="00EC58E6">
        <w:rPr>
          <w:sz w:val="24"/>
          <w:szCs w:val="24"/>
        </w:rPr>
        <w:t xml:space="preserve"> a financial reserve of £1,875,000.  This can be broken down into a LEP Core Reserve balance which currently stands at c</w:t>
      </w:r>
      <w:r w:rsidR="000F003E">
        <w:rPr>
          <w:sz w:val="24"/>
          <w:szCs w:val="24"/>
        </w:rPr>
        <w:t xml:space="preserve">irca </w:t>
      </w:r>
      <w:r w:rsidR="00EC58E6" w:rsidRPr="00EC58E6">
        <w:rPr>
          <w:sz w:val="24"/>
          <w:szCs w:val="24"/>
        </w:rPr>
        <w:t>£525,000 and a current estimated unrestricted LEP Project Reserve balance of £1,350,000.</w:t>
      </w:r>
    </w:p>
    <w:p w14:paraId="1321F1B1" w14:textId="77777777" w:rsidR="00EC58E6" w:rsidRPr="00EC58E6" w:rsidRDefault="00EC58E6" w:rsidP="007A3435">
      <w:pPr>
        <w:pStyle w:val="NoSpacing"/>
        <w:numPr>
          <w:ilvl w:val="1"/>
          <w:numId w:val="10"/>
        </w:numPr>
        <w:spacing w:line="276" w:lineRule="auto"/>
        <w:ind w:left="567" w:hanging="567"/>
        <w:jc w:val="both"/>
        <w:rPr>
          <w:sz w:val="24"/>
          <w:szCs w:val="24"/>
        </w:rPr>
      </w:pPr>
      <w:r w:rsidRPr="00EC58E6">
        <w:rPr>
          <w:sz w:val="24"/>
          <w:szCs w:val="24"/>
        </w:rPr>
        <w:lastRenderedPageBreak/>
        <w:t>If the LEP were to continue to operate, that reserve would have been carefully invested to the betterment of the geography and its respective economies.  However following government’s decision to close the LEP, it is prudent to consider how those reserves should now be used.</w:t>
      </w:r>
    </w:p>
    <w:p w14:paraId="77428C4D" w14:textId="77777777" w:rsidR="00782A67" w:rsidRPr="00EC58E6" w:rsidRDefault="00782A67" w:rsidP="00782A67">
      <w:pPr>
        <w:pStyle w:val="NoSpacing"/>
        <w:spacing w:line="276" w:lineRule="auto"/>
        <w:ind w:left="567" w:hanging="567"/>
        <w:jc w:val="both"/>
        <w:rPr>
          <w:sz w:val="24"/>
          <w:szCs w:val="24"/>
        </w:rPr>
      </w:pPr>
    </w:p>
    <w:p w14:paraId="4F0D5D42" w14:textId="489D58A0" w:rsidR="00782A67" w:rsidRPr="00EC58E6" w:rsidRDefault="00782A67" w:rsidP="00782A67">
      <w:pPr>
        <w:pStyle w:val="NoSpacing"/>
        <w:numPr>
          <w:ilvl w:val="1"/>
          <w:numId w:val="10"/>
        </w:numPr>
        <w:spacing w:line="276" w:lineRule="auto"/>
        <w:ind w:left="567" w:hanging="567"/>
        <w:jc w:val="both"/>
        <w:rPr>
          <w:sz w:val="24"/>
          <w:szCs w:val="24"/>
        </w:rPr>
      </w:pPr>
      <w:r w:rsidRPr="00EC58E6">
        <w:rPr>
          <w:sz w:val="24"/>
          <w:szCs w:val="24"/>
        </w:rPr>
        <w:t>There are currently no agreements as to how those reserves are used</w:t>
      </w:r>
      <w:r w:rsidR="00D13B72">
        <w:rPr>
          <w:sz w:val="24"/>
          <w:szCs w:val="24"/>
        </w:rPr>
        <w:t xml:space="preserve"> and therefore </w:t>
      </w:r>
      <w:r w:rsidR="00242612">
        <w:rPr>
          <w:sz w:val="24"/>
          <w:szCs w:val="24"/>
        </w:rPr>
        <w:t>these should be</w:t>
      </w:r>
      <w:r w:rsidRPr="00EC58E6">
        <w:rPr>
          <w:sz w:val="24"/>
          <w:szCs w:val="24"/>
        </w:rPr>
        <w:t xml:space="preserve"> transferred to the relevant local authorities</w:t>
      </w:r>
      <w:r w:rsidR="00242612">
        <w:rPr>
          <w:sz w:val="24"/>
          <w:szCs w:val="24"/>
        </w:rPr>
        <w:t>, in line with the Government’s guidance</w:t>
      </w:r>
      <w:r w:rsidRPr="00EC58E6">
        <w:rPr>
          <w:sz w:val="24"/>
          <w:szCs w:val="24"/>
        </w:rPr>
        <w:t xml:space="preserve">.  </w:t>
      </w:r>
      <w:r w:rsidR="00F52464">
        <w:rPr>
          <w:sz w:val="24"/>
          <w:szCs w:val="24"/>
        </w:rPr>
        <w:t>This has already been agreed by the Executive Board, with the principles for the use of the fund</w:t>
      </w:r>
      <w:r w:rsidR="00A12F79">
        <w:rPr>
          <w:sz w:val="24"/>
          <w:szCs w:val="24"/>
        </w:rPr>
        <w:t>s</w:t>
      </w:r>
      <w:r w:rsidR="00F52464">
        <w:rPr>
          <w:sz w:val="24"/>
          <w:szCs w:val="24"/>
        </w:rPr>
        <w:t xml:space="preserve"> to be further considered by the Executive Board and two upper tier local authorities.</w:t>
      </w:r>
    </w:p>
    <w:p w14:paraId="1CC9B26B" w14:textId="77777777" w:rsidR="00782A67" w:rsidRDefault="00782A67" w:rsidP="00F52464">
      <w:pPr>
        <w:pStyle w:val="NoSpacing"/>
        <w:spacing w:line="276" w:lineRule="auto"/>
        <w:ind w:left="567"/>
        <w:jc w:val="both"/>
        <w:rPr>
          <w:sz w:val="24"/>
          <w:szCs w:val="24"/>
        </w:rPr>
      </w:pPr>
    </w:p>
    <w:p w14:paraId="174E073E" w14:textId="6EC29D57" w:rsidR="00DC274C" w:rsidRPr="00855688" w:rsidRDefault="00DC274C" w:rsidP="00D26FBA">
      <w:pPr>
        <w:pStyle w:val="NoSpacing"/>
        <w:numPr>
          <w:ilvl w:val="0"/>
          <w:numId w:val="10"/>
        </w:numPr>
        <w:spacing w:line="276" w:lineRule="auto"/>
        <w:ind w:left="567" w:hanging="567"/>
        <w:jc w:val="both"/>
        <w:rPr>
          <w:b/>
          <w:bCs/>
          <w:sz w:val="24"/>
          <w:szCs w:val="24"/>
        </w:rPr>
      </w:pPr>
      <w:r w:rsidRPr="00855688">
        <w:rPr>
          <w:b/>
          <w:bCs/>
          <w:sz w:val="24"/>
          <w:szCs w:val="24"/>
        </w:rPr>
        <w:t xml:space="preserve">Other </w:t>
      </w:r>
      <w:r w:rsidR="00F81FEA" w:rsidRPr="00855688">
        <w:rPr>
          <w:b/>
          <w:bCs/>
          <w:sz w:val="24"/>
          <w:szCs w:val="24"/>
        </w:rPr>
        <w:t>F</w:t>
      </w:r>
      <w:r w:rsidR="00044E68" w:rsidRPr="00855688">
        <w:rPr>
          <w:b/>
          <w:bCs/>
          <w:sz w:val="24"/>
          <w:szCs w:val="24"/>
        </w:rPr>
        <w:t>unds</w:t>
      </w:r>
    </w:p>
    <w:p w14:paraId="055A0FD8" w14:textId="6D241E3B" w:rsidR="00044E68" w:rsidRPr="00855688" w:rsidRDefault="00044E68" w:rsidP="00C42FAF">
      <w:pPr>
        <w:pStyle w:val="NoSpacing"/>
        <w:spacing w:line="276" w:lineRule="auto"/>
        <w:ind w:left="567"/>
        <w:jc w:val="both"/>
        <w:rPr>
          <w:b/>
          <w:bCs/>
          <w:sz w:val="24"/>
          <w:szCs w:val="24"/>
        </w:rPr>
      </w:pPr>
    </w:p>
    <w:p w14:paraId="08692B5A" w14:textId="5B815B36" w:rsidR="00044E68" w:rsidRPr="00855688" w:rsidRDefault="00F30D49" w:rsidP="0071627E">
      <w:pPr>
        <w:pStyle w:val="NoSpacing"/>
        <w:numPr>
          <w:ilvl w:val="1"/>
          <w:numId w:val="10"/>
        </w:numPr>
        <w:spacing w:line="276" w:lineRule="auto"/>
        <w:ind w:left="567" w:hanging="567"/>
        <w:jc w:val="both"/>
        <w:rPr>
          <w:sz w:val="24"/>
          <w:szCs w:val="24"/>
        </w:rPr>
      </w:pPr>
      <w:r w:rsidRPr="00855688">
        <w:rPr>
          <w:sz w:val="24"/>
          <w:szCs w:val="24"/>
        </w:rPr>
        <w:t>The</w:t>
      </w:r>
      <w:r w:rsidR="00C42FAF" w:rsidRPr="00855688">
        <w:rPr>
          <w:sz w:val="24"/>
          <w:szCs w:val="24"/>
        </w:rPr>
        <w:t xml:space="preserve"> Government’s</w:t>
      </w:r>
      <w:r w:rsidRPr="00855688">
        <w:rPr>
          <w:sz w:val="24"/>
          <w:szCs w:val="24"/>
        </w:rPr>
        <w:t xml:space="preserve"> </w:t>
      </w:r>
      <w:r w:rsidR="00C42FAF" w:rsidRPr="00855688">
        <w:rPr>
          <w:sz w:val="24"/>
          <w:szCs w:val="24"/>
        </w:rPr>
        <w:t xml:space="preserve">integration guidance states that the responsibility </w:t>
      </w:r>
      <w:r w:rsidR="001E671B" w:rsidRPr="00855688">
        <w:rPr>
          <w:sz w:val="24"/>
          <w:szCs w:val="24"/>
        </w:rPr>
        <w:t xml:space="preserve">for LEPs funding programmes should be transferred to the </w:t>
      </w:r>
      <w:r w:rsidR="005A6383" w:rsidRPr="00855688">
        <w:rPr>
          <w:sz w:val="24"/>
          <w:szCs w:val="24"/>
        </w:rPr>
        <w:t xml:space="preserve">Accountable Body where a LEP will cease to operate.  </w:t>
      </w:r>
      <w:r w:rsidR="00E81221" w:rsidRPr="00855688">
        <w:rPr>
          <w:sz w:val="24"/>
          <w:szCs w:val="24"/>
        </w:rPr>
        <w:t xml:space="preserve">This includes </w:t>
      </w:r>
      <w:r w:rsidR="00F81FEA" w:rsidRPr="00855688">
        <w:rPr>
          <w:sz w:val="24"/>
          <w:szCs w:val="24"/>
        </w:rPr>
        <w:t>the Local Growth Fund and Getting Building Fund</w:t>
      </w:r>
      <w:r w:rsidR="002D79D3" w:rsidRPr="00855688">
        <w:rPr>
          <w:sz w:val="24"/>
          <w:szCs w:val="24"/>
        </w:rPr>
        <w:t>.</w:t>
      </w:r>
    </w:p>
    <w:p w14:paraId="5E8EA828" w14:textId="77777777" w:rsidR="00541BC6" w:rsidRPr="00855688" w:rsidRDefault="00541BC6" w:rsidP="0071627E">
      <w:pPr>
        <w:pStyle w:val="NoSpacing"/>
        <w:spacing w:line="276" w:lineRule="auto"/>
        <w:ind w:left="567" w:hanging="567"/>
        <w:jc w:val="both"/>
        <w:rPr>
          <w:sz w:val="24"/>
          <w:szCs w:val="24"/>
        </w:rPr>
      </w:pPr>
    </w:p>
    <w:p w14:paraId="5949B223" w14:textId="250F6A12" w:rsidR="0071627E" w:rsidRPr="00855688" w:rsidRDefault="002D79D3" w:rsidP="0071627E">
      <w:pPr>
        <w:pStyle w:val="NoSpacing"/>
        <w:numPr>
          <w:ilvl w:val="1"/>
          <w:numId w:val="10"/>
        </w:numPr>
        <w:spacing w:line="276" w:lineRule="auto"/>
        <w:ind w:left="567" w:hanging="567"/>
        <w:jc w:val="both"/>
        <w:rPr>
          <w:sz w:val="24"/>
          <w:szCs w:val="24"/>
        </w:rPr>
      </w:pPr>
      <w:r w:rsidRPr="00855688">
        <w:rPr>
          <w:sz w:val="24"/>
          <w:szCs w:val="24"/>
        </w:rPr>
        <w:t>In March 2023 the Executive Board agreed to allocate</w:t>
      </w:r>
      <w:r w:rsidR="005F1297" w:rsidRPr="00855688">
        <w:rPr>
          <w:sz w:val="24"/>
          <w:szCs w:val="24"/>
        </w:rPr>
        <w:t xml:space="preserve"> circa £1.2m of the Getting Building Fund to the Chatterley Valley West scheme.</w:t>
      </w:r>
      <w:r w:rsidR="00B338CE" w:rsidRPr="00855688">
        <w:rPr>
          <w:sz w:val="24"/>
          <w:szCs w:val="24"/>
        </w:rPr>
        <w:t xml:space="preserve">  Work on this scheme has been progressing in recent months</w:t>
      </w:r>
      <w:r w:rsidR="005F715B" w:rsidRPr="00855688">
        <w:rPr>
          <w:sz w:val="24"/>
          <w:szCs w:val="24"/>
        </w:rPr>
        <w:t xml:space="preserve"> and will </w:t>
      </w:r>
      <w:r w:rsidR="000A2CEC" w:rsidRPr="00855688">
        <w:rPr>
          <w:sz w:val="24"/>
          <w:szCs w:val="24"/>
        </w:rPr>
        <w:t xml:space="preserve">ultimately unlock </w:t>
      </w:r>
      <w:r w:rsidR="00541BC6" w:rsidRPr="00855688">
        <w:rPr>
          <w:sz w:val="24"/>
          <w:szCs w:val="24"/>
        </w:rPr>
        <w:t xml:space="preserve">a 43-hectare employment site which will generate around 1,700 jobs, Gross Value-Added of £67 million per annum and £60 million of private sector investment once complete.  </w:t>
      </w:r>
      <w:r w:rsidR="004A6447" w:rsidRPr="00855688">
        <w:rPr>
          <w:sz w:val="24"/>
          <w:szCs w:val="24"/>
        </w:rPr>
        <w:t xml:space="preserve">In advance of </w:t>
      </w:r>
      <w:r w:rsidR="00032D87" w:rsidRPr="00855688">
        <w:rPr>
          <w:sz w:val="24"/>
          <w:szCs w:val="24"/>
        </w:rPr>
        <w:t xml:space="preserve">the responsibility of GBF being transferred to </w:t>
      </w:r>
      <w:r w:rsidR="00F2402E" w:rsidRPr="00855688">
        <w:rPr>
          <w:sz w:val="24"/>
          <w:szCs w:val="24"/>
        </w:rPr>
        <w:t xml:space="preserve">SCC, it is requested that £861,750 of the funding allocated to Chatterley Valley West </w:t>
      </w:r>
      <w:r w:rsidR="004A6447" w:rsidRPr="00855688">
        <w:rPr>
          <w:sz w:val="24"/>
          <w:szCs w:val="24"/>
        </w:rPr>
        <w:t xml:space="preserve">be backdated </w:t>
      </w:r>
      <w:r w:rsidR="0071627E" w:rsidRPr="00855688">
        <w:rPr>
          <w:sz w:val="24"/>
          <w:szCs w:val="24"/>
        </w:rPr>
        <w:t xml:space="preserve">for </w:t>
      </w:r>
      <w:r w:rsidR="004A6447" w:rsidRPr="00855688">
        <w:rPr>
          <w:sz w:val="24"/>
          <w:szCs w:val="24"/>
        </w:rPr>
        <w:t xml:space="preserve">spend prior to the </w:t>
      </w:r>
      <w:r w:rsidR="0071627E" w:rsidRPr="00855688">
        <w:rPr>
          <w:sz w:val="24"/>
          <w:szCs w:val="24"/>
        </w:rPr>
        <w:t xml:space="preserve">Executive </w:t>
      </w:r>
      <w:r w:rsidR="004A6447" w:rsidRPr="00855688">
        <w:rPr>
          <w:sz w:val="24"/>
          <w:szCs w:val="24"/>
        </w:rPr>
        <w:t>Board approval.</w:t>
      </w:r>
    </w:p>
    <w:p w14:paraId="5A0F5029" w14:textId="77777777" w:rsidR="0071627E" w:rsidRDefault="0071627E" w:rsidP="0071627E">
      <w:pPr>
        <w:pStyle w:val="NoSpacing"/>
        <w:spacing w:line="276" w:lineRule="auto"/>
        <w:ind w:left="567"/>
        <w:jc w:val="both"/>
        <w:rPr>
          <w:b/>
          <w:bCs/>
          <w:sz w:val="24"/>
          <w:szCs w:val="24"/>
        </w:rPr>
      </w:pPr>
    </w:p>
    <w:p w14:paraId="44CB24A8" w14:textId="05744F35" w:rsidR="00D26FBA" w:rsidRPr="00D26FBA" w:rsidRDefault="00D26FBA" w:rsidP="00D26FBA">
      <w:pPr>
        <w:pStyle w:val="NoSpacing"/>
        <w:numPr>
          <w:ilvl w:val="0"/>
          <w:numId w:val="10"/>
        </w:numPr>
        <w:spacing w:line="276" w:lineRule="auto"/>
        <w:ind w:left="567" w:hanging="567"/>
        <w:jc w:val="both"/>
        <w:rPr>
          <w:b/>
          <w:bCs/>
          <w:sz w:val="24"/>
          <w:szCs w:val="24"/>
        </w:rPr>
      </w:pPr>
      <w:r w:rsidRPr="00D26FBA">
        <w:rPr>
          <w:b/>
          <w:bCs/>
          <w:sz w:val="24"/>
          <w:szCs w:val="24"/>
        </w:rPr>
        <w:t>Principles</w:t>
      </w:r>
    </w:p>
    <w:p w14:paraId="404A26C9" w14:textId="77777777" w:rsidR="00D26FBA" w:rsidRDefault="00D26FBA" w:rsidP="00D26FBA">
      <w:pPr>
        <w:pStyle w:val="ListParagraph"/>
        <w:rPr>
          <w:szCs w:val="24"/>
        </w:rPr>
      </w:pPr>
    </w:p>
    <w:p w14:paraId="50BB50BC" w14:textId="075DFBAA" w:rsidR="00195264" w:rsidRPr="00195264" w:rsidRDefault="00195264" w:rsidP="00B725BD">
      <w:pPr>
        <w:pStyle w:val="NoSpacing"/>
        <w:numPr>
          <w:ilvl w:val="1"/>
          <w:numId w:val="10"/>
        </w:numPr>
        <w:spacing w:line="276" w:lineRule="auto"/>
        <w:ind w:left="567" w:hanging="567"/>
        <w:jc w:val="both"/>
        <w:rPr>
          <w:sz w:val="24"/>
          <w:szCs w:val="24"/>
        </w:rPr>
      </w:pPr>
      <w:r w:rsidRPr="00195264">
        <w:rPr>
          <w:sz w:val="24"/>
          <w:szCs w:val="24"/>
        </w:rPr>
        <w:t>Whilst it is expected that Government is to provide some additional resource to the local authorities in 2024/2025, in the absence of any further resources being provided this year and the scale and timescales for any future resources</w:t>
      </w:r>
      <w:r w:rsidR="0048091D">
        <w:rPr>
          <w:sz w:val="24"/>
          <w:szCs w:val="24"/>
        </w:rPr>
        <w:t xml:space="preserve"> remaining unclear</w:t>
      </w:r>
      <w:r w:rsidRPr="00195264">
        <w:rPr>
          <w:sz w:val="24"/>
          <w:szCs w:val="24"/>
        </w:rPr>
        <w:t>, it is proposed that the assets are used under the following principles:</w:t>
      </w:r>
    </w:p>
    <w:p w14:paraId="3D151995" w14:textId="77777777" w:rsidR="00195264" w:rsidRPr="00195264" w:rsidRDefault="00195264" w:rsidP="00195264">
      <w:pPr>
        <w:pStyle w:val="NoSpacing"/>
        <w:spacing w:line="276" w:lineRule="auto"/>
        <w:ind w:left="720"/>
        <w:jc w:val="both"/>
        <w:rPr>
          <w:sz w:val="24"/>
          <w:szCs w:val="24"/>
        </w:rPr>
      </w:pPr>
    </w:p>
    <w:p w14:paraId="6D83486F" w14:textId="49D9CF43" w:rsidR="00195264" w:rsidRPr="00195264" w:rsidRDefault="00195264" w:rsidP="00B725BD">
      <w:pPr>
        <w:pStyle w:val="NoSpacing"/>
        <w:numPr>
          <w:ilvl w:val="0"/>
          <w:numId w:val="30"/>
        </w:numPr>
        <w:spacing w:line="276" w:lineRule="auto"/>
        <w:ind w:left="1134" w:hanging="567"/>
        <w:jc w:val="both"/>
        <w:rPr>
          <w:sz w:val="24"/>
          <w:szCs w:val="24"/>
        </w:rPr>
      </w:pPr>
      <w:r w:rsidRPr="00195264">
        <w:rPr>
          <w:sz w:val="24"/>
          <w:szCs w:val="24"/>
        </w:rPr>
        <w:t>The assets are used to fund any necessary work on the dissolution of the SSLEP and integration of its function</w:t>
      </w:r>
      <w:r w:rsidR="00114A29">
        <w:rPr>
          <w:sz w:val="24"/>
          <w:szCs w:val="24"/>
        </w:rPr>
        <w:t>s</w:t>
      </w:r>
      <w:r w:rsidRPr="00195264">
        <w:rPr>
          <w:sz w:val="24"/>
          <w:szCs w:val="24"/>
        </w:rPr>
        <w:t xml:space="preserve"> into the local authorities.</w:t>
      </w:r>
    </w:p>
    <w:p w14:paraId="607ECC53" w14:textId="6BC6B26C" w:rsidR="00195264" w:rsidRDefault="00195264" w:rsidP="00B725BD">
      <w:pPr>
        <w:pStyle w:val="NoSpacing"/>
        <w:numPr>
          <w:ilvl w:val="0"/>
          <w:numId w:val="30"/>
        </w:numPr>
        <w:spacing w:before="120" w:line="276" w:lineRule="auto"/>
        <w:ind w:left="1134" w:hanging="567"/>
        <w:jc w:val="both"/>
        <w:rPr>
          <w:sz w:val="24"/>
          <w:szCs w:val="24"/>
        </w:rPr>
      </w:pPr>
      <w:r w:rsidRPr="00195264">
        <w:rPr>
          <w:sz w:val="24"/>
          <w:szCs w:val="24"/>
        </w:rPr>
        <w:t>Resources are used to fund the establishment and running of the future business voice function, as necessary.</w:t>
      </w:r>
    </w:p>
    <w:p w14:paraId="7E371204" w14:textId="579947CE" w:rsidR="008A17C2" w:rsidRPr="00195264" w:rsidRDefault="00713273" w:rsidP="00B725BD">
      <w:pPr>
        <w:pStyle w:val="NoSpacing"/>
        <w:numPr>
          <w:ilvl w:val="0"/>
          <w:numId w:val="30"/>
        </w:numPr>
        <w:spacing w:before="120" w:line="276" w:lineRule="auto"/>
        <w:ind w:left="1134" w:hanging="567"/>
        <w:jc w:val="both"/>
        <w:rPr>
          <w:sz w:val="24"/>
          <w:szCs w:val="24"/>
        </w:rPr>
      </w:pPr>
      <w:r>
        <w:rPr>
          <w:sz w:val="24"/>
          <w:szCs w:val="24"/>
        </w:rPr>
        <w:t xml:space="preserve">Resources be used to safeguard </w:t>
      </w:r>
      <w:r w:rsidR="001E1148">
        <w:rPr>
          <w:sz w:val="24"/>
          <w:szCs w:val="24"/>
        </w:rPr>
        <w:t xml:space="preserve">and enhance </w:t>
      </w:r>
      <w:r>
        <w:rPr>
          <w:sz w:val="24"/>
          <w:szCs w:val="24"/>
        </w:rPr>
        <w:t xml:space="preserve">the </w:t>
      </w:r>
      <w:r w:rsidR="001E1148">
        <w:rPr>
          <w:sz w:val="24"/>
          <w:szCs w:val="24"/>
        </w:rPr>
        <w:t xml:space="preserve">future of </w:t>
      </w:r>
      <w:r w:rsidR="004C4FC8">
        <w:rPr>
          <w:sz w:val="24"/>
          <w:szCs w:val="24"/>
        </w:rPr>
        <w:t xml:space="preserve">the </w:t>
      </w:r>
      <w:r w:rsidR="001E1148">
        <w:rPr>
          <w:sz w:val="24"/>
          <w:szCs w:val="24"/>
        </w:rPr>
        <w:t>current LEP functions as appropriate, including the Growth Hub and Careers Hub.</w:t>
      </w:r>
    </w:p>
    <w:p w14:paraId="7B716BAF" w14:textId="721F5A64" w:rsidR="00195264" w:rsidRPr="00195264" w:rsidRDefault="00195264" w:rsidP="00B725BD">
      <w:pPr>
        <w:pStyle w:val="NoSpacing"/>
        <w:numPr>
          <w:ilvl w:val="0"/>
          <w:numId w:val="30"/>
        </w:numPr>
        <w:spacing w:before="120" w:line="276" w:lineRule="auto"/>
        <w:ind w:left="1134" w:hanging="567"/>
        <w:jc w:val="both"/>
        <w:rPr>
          <w:sz w:val="24"/>
          <w:szCs w:val="24"/>
        </w:rPr>
      </w:pPr>
      <w:r w:rsidRPr="00195264">
        <w:rPr>
          <w:sz w:val="24"/>
          <w:szCs w:val="24"/>
        </w:rPr>
        <w:lastRenderedPageBreak/>
        <w:t>In accordance with the principle with which resources have been provided to the LEPs, any remaining assets are to be used to fund economic growth activities across Stoke-on-Trent and Staffordshire.</w:t>
      </w:r>
    </w:p>
    <w:p w14:paraId="493D091E" w14:textId="77777777" w:rsidR="00195264" w:rsidRPr="00195264" w:rsidRDefault="00195264" w:rsidP="00195264">
      <w:pPr>
        <w:pStyle w:val="NoSpacing"/>
        <w:spacing w:line="276" w:lineRule="auto"/>
        <w:ind w:left="720"/>
        <w:jc w:val="both"/>
        <w:rPr>
          <w:sz w:val="24"/>
          <w:szCs w:val="24"/>
        </w:rPr>
      </w:pPr>
    </w:p>
    <w:p w14:paraId="60BD9AE9" w14:textId="25313510" w:rsidR="00DF211C" w:rsidRDefault="00772D35" w:rsidP="002D7653">
      <w:pPr>
        <w:pStyle w:val="NoSpacing"/>
        <w:numPr>
          <w:ilvl w:val="0"/>
          <w:numId w:val="10"/>
        </w:numPr>
        <w:spacing w:line="276" w:lineRule="auto"/>
        <w:ind w:left="567" w:hanging="567"/>
        <w:jc w:val="both"/>
        <w:rPr>
          <w:b/>
          <w:bCs/>
          <w:sz w:val="24"/>
          <w:szCs w:val="24"/>
        </w:rPr>
      </w:pPr>
      <w:r>
        <w:rPr>
          <w:b/>
          <w:bCs/>
          <w:sz w:val="24"/>
          <w:szCs w:val="24"/>
        </w:rPr>
        <w:t>Post transition g</w:t>
      </w:r>
      <w:r w:rsidR="00F72088" w:rsidRPr="00F72088">
        <w:rPr>
          <w:b/>
          <w:bCs/>
          <w:sz w:val="24"/>
          <w:szCs w:val="24"/>
        </w:rPr>
        <w:t>overnance</w:t>
      </w:r>
    </w:p>
    <w:p w14:paraId="4941A95A" w14:textId="77777777" w:rsidR="002D7653" w:rsidRPr="00F72088" w:rsidRDefault="002D7653" w:rsidP="002D7653">
      <w:pPr>
        <w:pStyle w:val="NoSpacing"/>
        <w:spacing w:line="276" w:lineRule="auto"/>
        <w:ind w:left="567"/>
        <w:jc w:val="both"/>
        <w:rPr>
          <w:b/>
          <w:bCs/>
          <w:sz w:val="24"/>
          <w:szCs w:val="24"/>
        </w:rPr>
      </w:pPr>
    </w:p>
    <w:p w14:paraId="00069AA7" w14:textId="6E6E6D88" w:rsidR="00052993" w:rsidRDefault="00F72088" w:rsidP="00367ED5">
      <w:pPr>
        <w:pStyle w:val="NoSpacing"/>
        <w:numPr>
          <w:ilvl w:val="1"/>
          <w:numId w:val="10"/>
        </w:numPr>
        <w:spacing w:line="276" w:lineRule="auto"/>
        <w:ind w:left="567" w:hanging="567"/>
        <w:jc w:val="both"/>
        <w:rPr>
          <w:sz w:val="24"/>
          <w:szCs w:val="24"/>
        </w:rPr>
      </w:pPr>
      <w:r>
        <w:rPr>
          <w:sz w:val="24"/>
          <w:szCs w:val="24"/>
        </w:rPr>
        <w:t>As set out with the Future LEP Arrangements report considered by the Executive Board in September, k</w:t>
      </w:r>
      <w:r w:rsidR="00195264" w:rsidRPr="00195264">
        <w:rPr>
          <w:sz w:val="24"/>
          <w:szCs w:val="24"/>
        </w:rPr>
        <w:t xml:space="preserve">ey to </w:t>
      </w:r>
      <w:r w:rsidR="00B35529">
        <w:rPr>
          <w:sz w:val="24"/>
          <w:szCs w:val="24"/>
        </w:rPr>
        <w:t xml:space="preserve">several of </w:t>
      </w:r>
      <w:r w:rsidR="00195264" w:rsidRPr="00195264">
        <w:rPr>
          <w:sz w:val="24"/>
          <w:szCs w:val="24"/>
        </w:rPr>
        <w:t xml:space="preserve">the issues associated with the cessation of the LEP will be </w:t>
      </w:r>
      <w:r w:rsidR="0088296B">
        <w:rPr>
          <w:sz w:val="24"/>
          <w:szCs w:val="24"/>
        </w:rPr>
        <w:t>the political governance and decision-making process</w:t>
      </w:r>
      <w:r>
        <w:rPr>
          <w:sz w:val="24"/>
          <w:szCs w:val="24"/>
        </w:rPr>
        <w:t>.</w:t>
      </w:r>
      <w:r w:rsidR="00B35529">
        <w:rPr>
          <w:sz w:val="24"/>
          <w:szCs w:val="24"/>
        </w:rPr>
        <w:t xml:space="preserve">  </w:t>
      </w:r>
      <w:r w:rsidR="007D61E7">
        <w:rPr>
          <w:sz w:val="24"/>
          <w:szCs w:val="24"/>
        </w:rPr>
        <w:t xml:space="preserve">As is set out within the </w:t>
      </w:r>
      <w:r w:rsidR="00CF63A2">
        <w:rPr>
          <w:sz w:val="24"/>
          <w:szCs w:val="24"/>
        </w:rPr>
        <w:t>closure process paper, i</w:t>
      </w:r>
      <w:r w:rsidR="00B35529">
        <w:rPr>
          <w:sz w:val="24"/>
          <w:szCs w:val="24"/>
        </w:rPr>
        <w:t xml:space="preserve">t is </w:t>
      </w:r>
      <w:r w:rsidR="00B44A23">
        <w:rPr>
          <w:sz w:val="24"/>
          <w:szCs w:val="24"/>
        </w:rPr>
        <w:t xml:space="preserve">being </w:t>
      </w:r>
      <w:r w:rsidR="00B35529">
        <w:rPr>
          <w:sz w:val="24"/>
          <w:szCs w:val="24"/>
        </w:rPr>
        <w:t xml:space="preserve">proposed that a </w:t>
      </w:r>
      <w:r w:rsidR="00CF63A2">
        <w:rPr>
          <w:sz w:val="24"/>
          <w:szCs w:val="24"/>
        </w:rPr>
        <w:t>j</w:t>
      </w:r>
      <w:r w:rsidR="00B35529">
        <w:rPr>
          <w:sz w:val="24"/>
          <w:szCs w:val="24"/>
        </w:rPr>
        <w:t xml:space="preserve">oint </w:t>
      </w:r>
      <w:r w:rsidR="00CF63A2">
        <w:rPr>
          <w:sz w:val="24"/>
          <w:szCs w:val="24"/>
        </w:rPr>
        <w:t>c</w:t>
      </w:r>
      <w:r w:rsidR="00B35529">
        <w:rPr>
          <w:sz w:val="24"/>
          <w:szCs w:val="24"/>
        </w:rPr>
        <w:t xml:space="preserve">ommittee is established </w:t>
      </w:r>
      <w:r w:rsidR="00F866DF">
        <w:rPr>
          <w:sz w:val="24"/>
          <w:szCs w:val="24"/>
        </w:rPr>
        <w:t xml:space="preserve">between SCC and SoTCC to make decisions related to </w:t>
      </w:r>
      <w:r w:rsidR="0063777C">
        <w:rPr>
          <w:sz w:val="24"/>
          <w:szCs w:val="24"/>
        </w:rPr>
        <w:t>the SSLEPs functions and the use of the assets</w:t>
      </w:r>
      <w:r w:rsidR="00772D35">
        <w:rPr>
          <w:sz w:val="24"/>
          <w:szCs w:val="24"/>
        </w:rPr>
        <w:t xml:space="preserve"> or, where the purpose of the funding is ring-fenced, for the use of the asset within that ring-fenced purpose</w:t>
      </w:r>
      <w:r w:rsidR="00C35444">
        <w:rPr>
          <w:sz w:val="24"/>
          <w:szCs w:val="24"/>
        </w:rPr>
        <w:t>.</w:t>
      </w:r>
    </w:p>
    <w:p w14:paraId="6E90D950" w14:textId="77777777" w:rsidR="00755A0E" w:rsidRDefault="00755A0E" w:rsidP="00755A0E">
      <w:pPr>
        <w:pStyle w:val="NoSpacing"/>
        <w:spacing w:line="276" w:lineRule="auto"/>
        <w:ind w:left="567"/>
        <w:jc w:val="both"/>
        <w:rPr>
          <w:sz w:val="24"/>
          <w:szCs w:val="24"/>
        </w:rPr>
      </w:pPr>
    </w:p>
    <w:p w14:paraId="32ED38D6" w14:textId="2F6BF4FE" w:rsidR="00772D35" w:rsidRDefault="00015207" w:rsidP="00F547DD">
      <w:pPr>
        <w:pStyle w:val="NoSpacing"/>
        <w:numPr>
          <w:ilvl w:val="1"/>
          <w:numId w:val="10"/>
        </w:numPr>
        <w:spacing w:line="276" w:lineRule="auto"/>
        <w:ind w:left="567" w:hanging="567"/>
        <w:jc w:val="both"/>
        <w:rPr>
          <w:sz w:val="24"/>
          <w:szCs w:val="24"/>
        </w:rPr>
      </w:pPr>
      <w:r>
        <w:rPr>
          <w:sz w:val="24"/>
          <w:szCs w:val="24"/>
        </w:rPr>
        <w:t>The est</w:t>
      </w:r>
      <w:r w:rsidR="001835BC">
        <w:rPr>
          <w:sz w:val="24"/>
          <w:szCs w:val="24"/>
        </w:rPr>
        <w:t xml:space="preserve">ablishment of the </w:t>
      </w:r>
      <w:r w:rsidR="00906414">
        <w:rPr>
          <w:sz w:val="24"/>
          <w:szCs w:val="24"/>
        </w:rPr>
        <w:t>j</w:t>
      </w:r>
      <w:r w:rsidR="001835BC">
        <w:rPr>
          <w:sz w:val="24"/>
          <w:szCs w:val="24"/>
        </w:rPr>
        <w:t xml:space="preserve">oint </w:t>
      </w:r>
      <w:r w:rsidR="00906414">
        <w:rPr>
          <w:sz w:val="24"/>
          <w:szCs w:val="24"/>
        </w:rPr>
        <w:t>c</w:t>
      </w:r>
      <w:r w:rsidR="001835BC">
        <w:rPr>
          <w:sz w:val="24"/>
          <w:szCs w:val="24"/>
        </w:rPr>
        <w:t xml:space="preserve">ommittee is currently being progressed </w:t>
      </w:r>
      <w:r w:rsidR="00196959">
        <w:rPr>
          <w:sz w:val="24"/>
          <w:szCs w:val="24"/>
        </w:rPr>
        <w:t>by SCC and SoTCC</w:t>
      </w:r>
      <w:r w:rsidR="001636BE">
        <w:rPr>
          <w:sz w:val="24"/>
          <w:szCs w:val="24"/>
        </w:rPr>
        <w:t xml:space="preserve"> and this will be considered through both authorities</w:t>
      </w:r>
      <w:r w:rsidR="00817601">
        <w:rPr>
          <w:sz w:val="24"/>
          <w:szCs w:val="24"/>
        </w:rPr>
        <w:t>’</w:t>
      </w:r>
      <w:r w:rsidR="001636BE">
        <w:rPr>
          <w:sz w:val="24"/>
          <w:szCs w:val="24"/>
        </w:rPr>
        <w:t xml:space="preserve"> </w:t>
      </w:r>
      <w:r w:rsidR="003E4152">
        <w:rPr>
          <w:sz w:val="24"/>
          <w:szCs w:val="24"/>
        </w:rPr>
        <w:t xml:space="preserve">governance processes </w:t>
      </w:r>
      <w:r w:rsidR="00906414">
        <w:rPr>
          <w:sz w:val="24"/>
          <w:szCs w:val="24"/>
        </w:rPr>
        <w:t>shortly</w:t>
      </w:r>
      <w:r w:rsidR="003E4152">
        <w:rPr>
          <w:sz w:val="24"/>
          <w:szCs w:val="24"/>
        </w:rPr>
        <w:t>.</w:t>
      </w:r>
      <w:r w:rsidR="00D25DCA">
        <w:rPr>
          <w:sz w:val="24"/>
          <w:szCs w:val="24"/>
        </w:rPr>
        <w:t xml:space="preserve">  Any decisions that are needed in advance of the </w:t>
      </w:r>
      <w:r w:rsidR="00906414">
        <w:rPr>
          <w:sz w:val="24"/>
          <w:szCs w:val="24"/>
        </w:rPr>
        <w:t>j</w:t>
      </w:r>
      <w:r w:rsidR="00D25DCA">
        <w:rPr>
          <w:sz w:val="24"/>
          <w:szCs w:val="24"/>
        </w:rPr>
        <w:t xml:space="preserve">oint </w:t>
      </w:r>
      <w:r w:rsidR="00906414">
        <w:rPr>
          <w:sz w:val="24"/>
          <w:szCs w:val="24"/>
        </w:rPr>
        <w:t>c</w:t>
      </w:r>
      <w:r w:rsidR="00D25DCA">
        <w:rPr>
          <w:sz w:val="24"/>
          <w:szCs w:val="24"/>
        </w:rPr>
        <w:t xml:space="preserve">ommittee </w:t>
      </w:r>
      <w:r w:rsidR="00817601">
        <w:rPr>
          <w:sz w:val="24"/>
          <w:szCs w:val="24"/>
        </w:rPr>
        <w:t xml:space="preserve">being established will </w:t>
      </w:r>
      <w:r w:rsidR="0016786B">
        <w:rPr>
          <w:sz w:val="24"/>
          <w:szCs w:val="24"/>
        </w:rPr>
        <w:t xml:space="preserve">be taken </w:t>
      </w:r>
      <w:r w:rsidR="00032AF1">
        <w:rPr>
          <w:sz w:val="24"/>
          <w:szCs w:val="24"/>
        </w:rPr>
        <w:t xml:space="preserve">through each </w:t>
      </w:r>
      <w:r w:rsidR="00C8664C">
        <w:rPr>
          <w:sz w:val="24"/>
          <w:szCs w:val="24"/>
        </w:rPr>
        <w:t>authorities’</w:t>
      </w:r>
      <w:r w:rsidR="00032AF1">
        <w:rPr>
          <w:sz w:val="24"/>
          <w:szCs w:val="24"/>
        </w:rPr>
        <w:t xml:space="preserve"> governance processes, with agreement </w:t>
      </w:r>
      <w:r w:rsidR="00EA180E">
        <w:rPr>
          <w:sz w:val="24"/>
          <w:szCs w:val="24"/>
        </w:rPr>
        <w:t xml:space="preserve">needed </w:t>
      </w:r>
      <w:r w:rsidR="00BC4879">
        <w:rPr>
          <w:sz w:val="24"/>
          <w:szCs w:val="24"/>
        </w:rPr>
        <w:t xml:space="preserve">from both authorities </w:t>
      </w:r>
      <w:r w:rsidR="00F547DD">
        <w:rPr>
          <w:sz w:val="24"/>
          <w:szCs w:val="24"/>
        </w:rPr>
        <w:t>for a recommendation to be agreed.</w:t>
      </w:r>
    </w:p>
    <w:p w14:paraId="39E7B5D9" w14:textId="77777777" w:rsidR="00772D35" w:rsidRDefault="00772D35" w:rsidP="00772D35">
      <w:pPr>
        <w:pStyle w:val="ListParagraph"/>
        <w:rPr>
          <w:szCs w:val="24"/>
        </w:rPr>
      </w:pPr>
    </w:p>
    <w:p w14:paraId="7EFC6335" w14:textId="23158262" w:rsidR="00772D35" w:rsidRPr="00772D35" w:rsidRDefault="00772D35" w:rsidP="00772D35">
      <w:pPr>
        <w:pStyle w:val="NoSpacing"/>
        <w:numPr>
          <w:ilvl w:val="0"/>
          <w:numId w:val="10"/>
        </w:numPr>
        <w:spacing w:line="276" w:lineRule="auto"/>
        <w:ind w:left="567" w:hanging="567"/>
        <w:jc w:val="both"/>
        <w:rPr>
          <w:b/>
          <w:bCs/>
          <w:sz w:val="24"/>
          <w:szCs w:val="24"/>
        </w:rPr>
      </w:pPr>
      <w:r w:rsidRPr="00772D35">
        <w:rPr>
          <w:b/>
          <w:bCs/>
          <w:sz w:val="24"/>
          <w:szCs w:val="24"/>
        </w:rPr>
        <w:t>Transfer Agreement and Loan</w:t>
      </w:r>
      <w:r w:rsidR="00893756">
        <w:rPr>
          <w:b/>
          <w:bCs/>
          <w:sz w:val="24"/>
          <w:szCs w:val="24"/>
        </w:rPr>
        <w:t>s</w:t>
      </w:r>
      <w:r w:rsidRPr="00772D35">
        <w:rPr>
          <w:b/>
          <w:bCs/>
          <w:sz w:val="24"/>
          <w:szCs w:val="24"/>
        </w:rPr>
        <w:t xml:space="preserve"> </w:t>
      </w:r>
      <w:r w:rsidR="002C0E2E">
        <w:rPr>
          <w:b/>
          <w:bCs/>
          <w:sz w:val="24"/>
          <w:szCs w:val="24"/>
        </w:rPr>
        <w:t xml:space="preserve">Transfer </w:t>
      </w:r>
    </w:p>
    <w:p w14:paraId="07719E7A" w14:textId="77777777" w:rsidR="00772D35" w:rsidRDefault="00772D35" w:rsidP="00772D35">
      <w:pPr>
        <w:pStyle w:val="NoSpacing"/>
        <w:spacing w:line="276" w:lineRule="auto"/>
        <w:ind w:left="720"/>
        <w:jc w:val="both"/>
        <w:rPr>
          <w:sz w:val="24"/>
          <w:szCs w:val="24"/>
        </w:rPr>
      </w:pPr>
    </w:p>
    <w:p w14:paraId="18B52001" w14:textId="12CD0864" w:rsidR="00893756" w:rsidRDefault="00772D35" w:rsidP="00893756">
      <w:pPr>
        <w:pStyle w:val="NoSpacing"/>
        <w:numPr>
          <w:ilvl w:val="1"/>
          <w:numId w:val="10"/>
        </w:numPr>
        <w:spacing w:line="276" w:lineRule="auto"/>
        <w:ind w:left="567" w:hanging="567"/>
        <w:jc w:val="both"/>
        <w:rPr>
          <w:sz w:val="24"/>
          <w:szCs w:val="24"/>
        </w:rPr>
      </w:pPr>
      <w:r>
        <w:rPr>
          <w:sz w:val="24"/>
          <w:szCs w:val="24"/>
        </w:rPr>
        <w:t xml:space="preserve">To implement the transition of the </w:t>
      </w:r>
      <w:r w:rsidR="00893756">
        <w:rPr>
          <w:sz w:val="24"/>
          <w:szCs w:val="24"/>
        </w:rPr>
        <w:t>SS</w:t>
      </w:r>
      <w:r>
        <w:rPr>
          <w:sz w:val="24"/>
          <w:szCs w:val="24"/>
        </w:rPr>
        <w:t>LEP’s assets</w:t>
      </w:r>
      <w:r w:rsidR="00893756">
        <w:rPr>
          <w:sz w:val="24"/>
          <w:szCs w:val="24"/>
        </w:rPr>
        <w:t xml:space="preserve"> and the associated liabilities to SCC, legal advisers have recommended that SSLEP and SCC enter into a transfer </w:t>
      </w:r>
      <w:r w:rsidR="00874E7C">
        <w:rPr>
          <w:sz w:val="24"/>
          <w:szCs w:val="24"/>
        </w:rPr>
        <w:t>agreement to</w:t>
      </w:r>
      <w:r w:rsidR="00893756">
        <w:rPr>
          <w:sz w:val="24"/>
          <w:szCs w:val="24"/>
        </w:rPr>
        <w:t xml:space="preserve"> record the terms of the transfer</w:t>
      </w:r>
      <w:r w:rsidR="00CF34C6">
        <w:rPr>
          <w:sz w:val="24"/>
          <w:szCs w:val="24"/>
        </w:rPr>
        <w:t xml:space="preserve"> (see </w:t>
      </w:r>
      <w:r w:rsidR="00DD54C1" w:rsidRPr="00DD54C1">
        <w:rPr>
          <w:sz w:val="24"/>
          <w:szCs w:val="24"/>
        </w:rPr>
        <w:t>a</w:t>
      </w:r>
      <w:r w:rsidR="00CF34C6" w:rsidRPr="00DD54C1">
        <w:rPr>
          <w:sz w:val="24"/>
          <w:szCs w:val="24"/>
        </w:rPr>
        <w:t>ppendix 1</w:t>
      </w:r>
      <w:r w:rsidR="00CF34C6">
        <w:rPr>
          <w:sz w:val="24"/>
          <w:szCs w:val="24"/>
        </w:rPr>
        <w:t>)</w:t>
      </w:r>
      <w:r>
        <w:rPr>
          <w:sz w:val="24"/>
          <w:szCs w:val="24"/>
        </w:rPr>
        <w:t>.</w:t>
      </w:r>
      <w:r w:rsidR="00893756">
        <w:rPr>
          <w:sz w:val="24"/>
          <w:szCs w:val="24"/>
        </w:rPr>
        <w:t xml:space="preserve">  In essence, </w:t>
      </w:r>
      <w:r w:rsidR="002C0E2E">
        <w:rPr>
          <w:sz w:val="24"/>
          <w:szCs w:val="24"/>
        </w:rPr>
        <w:t xml:space="preserve">in consideration of SCC assuming </w:t>
      </w:r>
      <w:proofErr w:type="gramStart"/>
      <w:r w:rsidR="002C0E2E">
        <w:rPr>
          <w:sz w:val="24"/>
          <w:szCs w:val="24"/>
        </w:rPr>
        <w:t>all of</w:t>
      </w:r>
      <w:proofErr w:type="gramEnd"/>
      <w:r w:rsidR="002C0E2E">
        <w:rPr>
          <w:sz w:val="24"/>
          <w:szCs w:val="24"/>
        </w:rPr>
        <w:t xml:space="preserve"> SSLEP’s liabilities, </w:t>
      </w:r>
      <w:r w:rsidR="00893756">
        <w:rPr>
          <w:sz w:val="24"/>
          <w:szCs w:val="24"/>
        </w:rPr>
        <w:t>the transfer agreement will transfer to SCC:</w:t>
      </w:r>
    </w:p>
    <w:p w14:paraId="774822D4" w14:textId="77777777" w:rsidR="00893756" w:rsidRDefault="00893756" w:rsidP="00893756">
      <w:pPr>
        <w:pStyle w:val="NoSpacing"/>
        <w:spacing w:line="276" w:lineRule="auto"/>
        <w:ind w:left="567" w:hanging="567"/>
        <w:jc w:val="both"/>
        <w:rPr>
          <w:sz w:val="24"/>
          <w:szCs w:val="24"/>
        </w:rPr>
      </w:pPr>
    </w:p>
    <w:p w14:paraId="3EF08F96" w14:textId="047C0B89" w:rsidR="002A29B2" w:rsidRPr="00874E7C" w:rsidRDefault="00893756" w:rsidP="00874E7C">
      <w:pPr>
        <w:pStyle w:val="NoSpacing"/>
        <w:numPr>
          <w:ilvl w:val="1"/>
          <w:numId w:val="32"/>
        </w:numPr>
        <w:spacing w:line="276" w:lineRule="auto"/>
        <w:ind w:left="1134" w:hanging="567"/>
        <w:jc w:val="both"/>
        <w:rPr>
          <w:sz w:val="24"/>
          <w:szCs w:val="24"/>
        </w:rPr>
      </w:pPr>
      <w:r>
        <w:rPr>
          <w:sz w:val="24"/>
          <w:szCs w:val="24"/>
        </w:rPr>
        <w:t xml:space="preserve">beneficial ownership of the LEP Core Reserve </w:t>
      </w:r>
      <w:proofErr w:type="gramStart"/>
      <w:r>
        <w:rPr>
          <w:sz w:val="24"/>
          <w:szCs w:val="24"/>
        </w:rPr>
        <w:t>balance;</w:t>
      </w:r>
      <w:proofErr w:type="gramEnd"/>
    </w:p>
    <w:p w14:paraId="7E81C526" w14:textId="3B62B381" w:rsidR="00893756" w:rsidRDefault="00893756" w:rsidP="00874E7C">
      <w:pPr>
        <w:pStyle w:val="NoSpacing"/>
        <w:numPr>
          <w:ilvl w:val="1"/>
          <w:numId w:val="32"/>
        </w:numPr>
        <w:spacing w:before="120" w:line="276" w:lineRule="auto"/>
        <w:ind w:left="1134" w:hanging="567"/>
        <w:jc w:val="both"/>
        <w:rPr>
          <w:sz w:val="24"/>
          <w:szCs w:val="24"/>
        </w:rPr>
      </w:pPr>
      <w:r>
        <w:rPr>
          <w:sz w:val="24"/>
          <w:szCs w:val="24"/>
        </w:rPr>
        <w:t xml:space="preserve">the LEP Project Reserve </w:t>
      </w:r>
      <w:proofErr w:type="gramStart"/>
      <w:r>
        <w:rPr>
          <w:sz w:val="24"/>
          <w:szCs w:val="24"/>
        </w:rPr>
        <w:t>balance;</w:t>
      </w:r>
      <w:proofErr w:type="gramEnd"/>
      <w:r>
        <w:rPr>
          <w:sz w:val="24"/>
          <w:szCs w:val="24"/>
        </w:rPr>
        <w:t xml:space="preserve"> </w:t>
      </w:r>
    </w:p>
    <w:p w14:paraId="03F3DC0E" w14:textId="3D11C013" w:rsidR="002A29B2" w:rsidRPr="00874E7C" w:rsidRDefault="00893756" w:rsidP="00874E7C">
      <w:pPr>
        <w:pStyle w:val="NoSpacing"/>
        <w:numPr>
          <w:ilvl w:val="1"/>
          <w:numId w:val="32"/>
        </w:numPr>
        <w:spacing w:before="120" w:line="276" w:lineRule="auto"/>
        <w:ind w:left="1134" w:hanging="567"/>
        <w:jc w:val="both"/>
        <w:rPr>
          <w:sz w:val="24"/>
          <w:szCs w:val="24"/>
        </w:rPr>
      </w:pPr>
      <w:r>
        <w:rPr>
          <w:sz w:val="24"/>
          <w:szCs w:val="24"/>
        </w:rPr>
        <w:t>the benefit of the loans made to in respect of [Blyth</w:t>
      </w:r>
      <w:r w:rsidR="00874E7C">
        <w:rPr>
          <w:sz w:val="24"/>
          <w:szCs w:val="24"/>
        </w:rPr>
        <w:t>e</w:t>
      </w:r>
      <w:r>
        <w:rPr>
          <w:sz w:val="24"/>
          <w:szCs w:val="24"/>
        </w:rPr>
        <w:t xml:space="preserve"> Park Extension and the Dog and Bone]</w:t>
      </w:r>
      <w:r w:rsidR="002C0E2E">
        <w:rPr>
          <w:sz w:val="24"/>
          <w:szCs w:val="24"/>
        </w:rPr>
        <w:t xml:space="preserve"> (</w:t>
      </w:r>
      <w:r w:rsidR="002C0E2E" w:rsidRPr="002C0E2E">
        <w:rPr>
          <w:b/>
          <w:sz w:val="24"/>
          <w:szCs w:val="24"/>
        </w:rPr>
        <w:t>Loans</w:t>
      </w:r>
      <w:r w:rsidR="002C0E2E">
        <w:rPr>
          <w:sz w:val="24"/>
          <w:szCs w:val="24"/>
        </w:rPr>
        <w:t>)</w:t>
      </w:r>
      <w:r>
        <w:rPr>
          <w:sz w:val="24"/>
          <w:szCs w:val="24"/>
        </w:rPr>
        <w:t xml:space="preserve">; </w:t>
      </w:r>
      <w:r w:rsidRPr="002C0E2E">
        <w:rPr>
          <w:sz w:val="24"/>
          <w:szCs w:val="24"/>
        </w:rPr>
        <w:t>and</w:t>
      </w:r>
    </w:p>
    <w:p w14:paraId="50953A52" w14:textId="65024011" w:rsidR="00893756" w:rsidRDefault="00893756" w:rsidP="00874E7C">
      <w:pPr>
        <w:pStyle w:val="NoSpacing"/>
        <w:numPr>
          <w:ilvl w:val="1"/>
          <w:numId w:val="32"/>
        </w:numPr>
        <w:spacing w:before="120" w:line="276" w:lineRule="auto"/>
        <w:ind w:left="1134" w:hanging="567"/>
        <w:jc w:val="both"/>
        <w:rPr>
          <w:sz w:val="24"/>
          <w:szCs w:val="24"/>
        </w:rPr>
      </w:pPr>
      <w:r>
        <w:rPr>
          <w:sz w:val="24"/>
          <w:szCs w:val="24"/>
        </w:rPr>
        <w:t>any other assets vested in SSLEP</w:t>
      </w:r>
      <w:r w:rsidR="002C0E2E">
        <w:rPr>
          <w:sz w:val="24"/>
          <w:szCs w:val="24"/>
        </w:rPr>
        <w:t>.</w:t>
      </w:r>
    </w:p>
    <w:p w14:paraId="68259ACD" w14:textId="77777777" w:rsidR="00893756" w:rsidRDefault="00893756" w:rsidP="00893756">
      <w:pPr>
        <w:pStyle w:val="NoSpacing"/>
        <w:spacing w:line="276" w:lineRule="auto"/>
        <w:ind w:left="567" w:hanging="567"/>
        <w:jc w:val="both"/>
        <w:rPr>
          <w:sz w:val="24"/>
          <w:szCs w:val="24"/>
        </w:rPr>
      </w:pPr>
    </w:p>
    <w:p w14:paraId="62723C68" w14:textId="4EE97E80" w:rsidR="002C0E2E" w:rsidRDefault="002C0E2E" w:rsidP="002C0E2E">
      <w:pPr>
        <w:pStyle w:val="NoSpacing"/>
        <w:numPr>
          <w:ilvl w:val="1"/>
          <w:numId w:val="10"/>
        </w:numPr>
        <w:spacing w:line="276" w:lineRule="auto"/>
        <w:ind w:left="567" w:hanging="567"/>
        <w:jc w:val="both"/>
        <w:rPr>
          <w:sz w:val="24"/>
          <w:szCs w:val="24"/>
        </w:rPr>
      </w:pPr>
      <w:r>
        <w:rPr>
          <w:sz w:val="24"/>
          <w:szCs w:val="24"/>
        </w:rPr>
        <w:t>To complete the legal formalities of transferring the Loans, notice of the transfer needs to be</w:t>
      </w:r>
      <w:r w:rsidR="00893756">
        <w:rPr>
          <w:sz w:val="24"/>
          <w:szCs w:val="24"/>
        </w:rPr>
        <w:t xml:space="preserve"> </w:t>
      </w:r>
      <w:r>
        <w:rPr>
          <w:sz w:val="24"/>
          <w:szCs w:val="24"/>
        </w:rPr>
        <w:t>given to the borrower</w:t>
      </w:r>
      <w:r w:rsidR="00CF34C6">
        <w:rPr>
          <w:sz w:val="24"/>
          <w:szCs w:val="24"/>
        </w:rPr>
        <w:t xml:space="preserve"> following completion of the transfer agreement</w:t>
      </w:r>
      <w:r w:rsidR="00C62DE9">
        <w:rPr>
          <w:sz w:val="24"/>
          <w:szCs w:val="24"/>
        </w:rPr>
        <w:t xml:space="preserve"> and this will be completed by SCC</w:t>
      </w:r>
      <w:r>
        <w:rPr>
          <w:sz w:val="24"/>
          <w:szCs w:val="24"/>
        </w:rPr>
        <w:t>.</w:t>
      </w:r>
    </w:p>
    <w:p w14:paraId="0D0A5183" w14:textId="77777777" w:rsidR="002C0E2E" w:rsidRDefault="002C0E2E" w:rsidP="002C0E2E">
      <w:pPr>
        <w:pStyle w:val="NoSpacing"/>
        <w:spacing w:line="276" w:lineRule="auto"/>
        <w:ind w:left="567"/>
        <w:jc w:val="both"/>
        <w:rPr>
          <w:sz w:val="24"/>
          <w:szCs w:val="24"/>
        </w:rPr>
      </w:pPr>
    </w:p>
    <w:p w14:paraId="109282D0" w14:textId="26C6B35B" w:rsidR="002C0E2E" w:rsidRDefault="002C0E2E" w:rsidP="002C0E2E">
      <w:pPr>
        <w:pStyle w:val="NoSpacing"/>
        <w:numPr>
          <w:ilvl w:val="1"/>
          <w:numId w:val="10"/>
        </w:numPr>
        <w:spacing w:line="276" w:lineRule="auto"/>
        <w:ind w:left="567" w:hanging="567"/>
        <w:jc w:val="both"/>
        <w:rPr>
          <w:sz w:val="24"/>
          <w:szCs w:val="24"/>
        </w:rPr>
      </w:pPr>
      <w:r>
        <w:rPr>
          <w:sz w:val="24"/>
          <w:szCs w:val="24"/>
        </w:rPr>
        <w:t xml:space="preserve">It is </w:t>
      </w:r>
      <w:r w:rsidR="00E2262F">
        <w:rPr>
          <w:sz w:val="24"/>
          <w:szCs w:val="24"/>
        </w:rPr>
        <w:t xml:space="preserve">therefore </w:t>
      </w:r>
      <w:r>
        <w:rPr>
          <w:sz w:val="24"/>
          <w:szCs w:val="24"/>
        </w:rPr>
        <w:t>recommended that the Executive Board:</w:t>
      </w:r>
    </w:p>
    <w:p w14:paraId="4886879A" w14:textId="6F1F6B5A" w:rsidR="002A29B2" w:rsidRDefault="002A29B2" w:rsidP="002A29B2">
      <w:pPr>
        <w:pStyle w:val="NoSpacing"/>
        <w:spacing w:line="276" w:lineRule="auto"/>
        <w:jc w:val="both"/>
        <w:rPr>
          <w:sz w:val="24"/>
          <w:szCs w:val="24"/>
        </w:rPr>
      </w:pPr>
    </w:p>
    <w:p w14:paraId="55857136" w14:textId="4FC04EFD" w:rsidR="002A29B2" w:rsidRPr="00E2262F" w:rsidRDefault="002C0E2E" w:rsidP="00E8323C">
      <w:pPr>
        <w:pStyle w:val="NoSpacing"/>
        <w:numPr>
          <w:ilvl w:val="2"/>
          <w:numId w:val="33"/>
        </w:numPr>
        <w:spacing w:line="276" w:lineRule="auto"/>
        <w:ind w:left="1134" w:hanging="567"/>
        <w:jc w:val="both"/>
        <w:rPr>
          <w:sz w:val="24"/>
          <w:szCs w:val="24"/>
        </w:rPr>
      </w:pPr>
      <w:r>
        <w:rPr>
          <w:sz w:val="24"/>
          <w:szCs w:val="24"/>
        </w:rPr>
        <w:lastRenderedPageBreak/>
        <w:t xml:space="preserve">approves the entry into the transfer agreement, to transfer SSLEP’s assets with effect from 31 March </w:t>
      </w:r>
      <w:proofErr w:type="gramStart"/>
      <w:r>
        <w:rPr>
          <w:sz w:val="24"/>
          <w:szCs w:val="24"/>
        </w:rPr>
        <w:t>2024;</w:t>
      </w:r>
      <w:proofErr w:type="gramEnd"/>
      <w:r>
        <w:rPr>
          <w:sz w:val="24"/>
          <w:szCs w:val="24"/>
        </w:rPr>
        <w:t xml:space="preserve"> </w:t>
      </w:r>
    </w:p>
    <w:p w14:paraId="5F2D6982" w14:textId="2FD97679" w:rsidR="00E52291" w:rsidRPr="00F547DD" w:rsidRDefault="002C0E2E" w:rsidP="00E8323C">
      <w:pPr>
        <w:pStyle w:val="NoSpacing"/>
        <w:numPr>
          <w:ilvl w:val="2"/>
          <w:numId w:val="33"/>
        </w:numPr>
        <w:spacing w:before="120" w:line="276" w:lineRule="auto"/>
        <w:ind w:left="1134" w:hanging="567"/>
        <w:jc w:val="both"/>
        <w:rPr>
          <w:sz w:val="24"/>
          <w:szCs w:val="24"/>
        </w:rPr>
      </w:pPr>
      <w:r>
        <w:rPr>
          <w:sz w:val="24"/>
          <w:szCs w:val="24"/>
        </w:rPr>
        <w:t xml:space="preserve">authorises any director to sign the </w:t>
      </w:r>
      <w:r w:rsidR="008132C3">
        <w:rPr>
          <w:sz w:val="24"/>
          <w:szCs w:val="24"/>
        </w:rPr>
        <w:t xml:space="preserve">asset </w:t>
      </w:r>
      <w:r>
        <w:rPr>
          <w:sz w:val="24"/>
          <w:szCs w:val="24"/>
        </w:rPr>
        <w:t>transfer agreement on behalf of SSLEP and to do anything else necessary in connection with the transfer of the assets and the liabilities to SCC.</w:t>
      </w:r>
    </w:p>
    <w:sectPr w:rsidR="00E52291" w:rsidRPr="00F547D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7D359" w14:textId="77777777" w:rsidR="000B3FBC" w:rsidRDefault="000B3FBC" w:rsidP="005B4A79">
      <w:pPr>
        <w:spacing w:after="0" w:line="240" w:lineRule="auto"/>
      </w:pPr>
      <w:r>
        <w:separator/>
      </w:r>
    </w:p>
  </w:endnote>
  <w:endnote w:type="continuationSeparator" w:id="0">
    <w:p w14:paraId="438FDAB3" w14:textId="77777777" w:rsidR="000B3FBC" w:rsidRDefault="000B3FBC" w:rsidP="005B4A79">
      <w:pPr>
        <w:spacing w:after="0" w:line="240" w:lineRule="auto"/>
      </w:pPr>
      <w:r>
        <w:continuationSeparator/>
      </w:r>
    </w:p>
  </w:endnote>
  <w:endnote w:type="continuationNotice" w:id="1">
    <w:p w14:paraId="4062FA89" w14:textId="77777777" w:rsidR="000B3FBC" w:rsidRDefault="000B3F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 w:name="Yu Gothic UI">
    <w:panose1 w:val="020B05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EA65" w14:textId="77777777" w:rsidR="00FC28E3" w:rsidRDefault="00FC2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811042"/>
      <w:docPartObj>
        <w:docPartGallery w:val="Page Numbers (Bottom of Page)"/>
        <w:docPartUnique/>
      </w:docPartObj>
    </w:sdtPr>
    <w:sdtEndPr>
      <w:rPr>
        <w:noProof/>
      </w:rPr>
    </w:sdtEndPr>
    <w:sdtContent>
      <w:p w14:paraId="25E08FBE" w14:textId="25637350" w:rsidR="00BF50C9" w:rsidRDefault="00BF50C9">
        <w:pPr>
          <w:pStyle w:val="Footer"/>
        </w:pPr>
        <w:r>
          <w:fldChar w:fldCharType="begin"/>
        </w:r>
        <w:r>
          <w:instrText xml:space="preserve"> PAGE   \* MERGEFORMAT </w:instrText>
        </w:r>
        <w:r>
          <w:fldChar w:fldCharType="separate"/>
        </w:r>
        <w:r w:rsidR="002A29B2">
          <w:rPr>
            <w:noProof/>
          </w:rPr>
          <w:t>5</w:t>
        </w:r>
        <w:r>
          <w:rPr>
            <w:noProof/>
          </w:rPr>
          <w:fldChar w:fldCharType="end"/>
        </w:r>
      </w:p>
    </w:sdtContent>
  </w:sdt>
  <w:p w14:paraId="31DD523A" w14:textId="77777777" w:rsidR="005B4A79" w:rsidRDefault="005B4A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E37C" w14:textId="77777777" w:rsidR="00FC28E3" w:rsidRDefault="00FC2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1CFAD" w14:textId="77777777" w:rsidR="000B3FBC" w:rsidRDefault="000B3FBC" w:rsidP="005B4A79">
      <w:pPr>
        <w:spacing w:after="0" w:line="240" w:lineRule="auto"/>
      </w:pPr>
      <w:r>
        <w:separator/>
      </w:r>
    </w:p>
  </w:footnote>
  <w:footnote w:type="continuationSeparator" w:id="0">
    <w:p w14:paraId="225B9C52" w14:textId="77777777" w:rsidR="000B3FBC" w:rsidRDefault="000B3FBC" w:rsidP="005B4A79">
      <w:pPr>
        <w:spacing w:after="0" w:line="240" w:lineRule="auto"/>
      </w:pPr>
      <w:r>
        <w:continuationSeparator/>
      </w:r>
    </w:p>
  </w:footnote>
  <w:footnote w:type="continuationNotice" w:id="1">
    <w:p w14:paraId="2DC60E58" w14:textId="77777777" w:rsidR="000B3FBC" w:rsidRDefault="000B3F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7F18" w14:textId="3AFA9EEB" w:rsidR="00FC28E3" w:rsidRDefault="00FC2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6DB5" w14:textId="3BAF605C" w:rsidR="005B4A79" w:rsidRPr="00BE01F8" w:rsidRDefault="005B4A79" w:rsidP="005B4A79">
    <w:pPr>
      <w:jc w:val="right"/>
      <w:rPr>
        <w:b/>
        <w:bCs/>
        <w:color w:val="FF0000"/>
        <w:sz w:val="32"/>
        <w:szCs w:val="32"/>
      </w:rPr>
    </w:pPr>
    <w:r w:rsidRPr="00BE01F8">
      <w:rPr>
        <w:rFonts w:ascii="Verdana" w:eastAsia="Times New Roman" w:hAnsi="Verdana" w:cs="Times New Roman"/>
        <w:b/>
        <w:bCs/>
        <w:noProof/>
        <w:color w:val="FF0000"/>
        <w:sz w:val="32"/>
        <w:szCs w:val="32"/>
        <w:lang w:eastAsia="en-GB"/>
      </w:rPr>
      <w:drawing>
        <wp:anchor distT="0" distB="0" distL="114300" distR="114300" simplePos="0" relativeHeight="251658240" behindDoc="0" locked="0" layoutInCell="1" allowOverlap="1" wp14:anchorId="7E734B75" wp14:editId="0A8E461C">
          <wp:simplePos x="0" y="0"/>
          <wp:positionH relativeFrom="margin">
            <wp:posOffset>-501650</wp:posOffset>
          </wp:positionH>
          <wp:positionV relativeFrom="paragraph">
            <wp:posOffset>-164465</wp:posOffset>
          </wp:positionV>
          <wp:extent cx="1255076" cy="42862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702 new L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076"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52876" w14:textId="60E96761" w:rsidR="005B4A79" w:rsidRDefault="005B4A79">
    <w:pPr>
      <w:pStyle w:val="Header"/>
    </w:pPr>
  </w:p>
  <w:p w14:paraId="0D8A2214" w14:textId="77777777" w:rsidR="005B4A79" w:rsidRDefault="005B4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ADE7" w14:textId="1827692D" w:rsidR="00FC28E3" w:rsidRDefault="00FC2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194"/>
    <w:multiLevelType w:val="hybridMultilevel"/>
    <w:tmpl w:val="067C2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F91C89"/>
    <w:multiLevelType w:val="hybridMultilevel"/>
    <w:tmpl w:val="FBF0D186"/>
    <w:lvl w:ilvl="0" w:tplc="524A710A">
      <w:start w:val="1"/>
      <w:numFmt w:val="bullet"/>
      <w:lvlText w:val=""/>
      <w:lvlJc w:val="left"/>
      <w:pPr>
        <w:ind w:left="1040" w:hanging="360"/>
      </w:pPr>
      <w:rPr>
        <w:rFonts w:ascii="Symbol" w:hAnsi="Symbol" w:hint="default"/>
        <w:color w:val="4472C4" w:themeColor="accent1"/>
      </w:rPr>
    </w:lvl>
    <w:lvl w:ilvl="1" w:tplc="04090003">
      <w:start w:val="1"/>
      <w:numFmt w:val="bullet"/>
      <w:lvlText w:val="o"/>
      <w:lvlJc w:val="left"/>
      <w:pPr>
        <w:ind w:left="1760" w:hanging="360"/>
      </w:pPr>
      <w:rPr>
        <w:rFonts w:ascii="Courier New" w:hAnsi="Courier New" w:cs="Courier New" w:hint="default"/>
      </w:rPr>
    </w:lvl>
    <w:lvl w:ilvl="2" w:tplc="04090005">
      <w:start w:val="1"/>
      <w:numFmt w:val="bullet"/>
      <w:lvlText w:val=""/>
      <w:lvlJc w:val="left"/>
      <w:pPr>
        <w:ind w:left="2480" w:hanging="360"/>
      </w:pPr>
      <w:rPr>
        <w:rFonts w:ascii="Wingdings" w:hAnsi="Wingdings" w:hint="default"/>
      </w:rPr>
    </w:lvl>
    <w:lvl w:ilvl="3" w:tplc="04090001">
      <w:start w:val="1"/>
      <w:numFmt w:val="bullet"/>
      <w:lvlText w:val=""/>
      <w:lvlJc w:val="left"/>
      <w:pPr>
        <w:ind w:left="3200" w:hanging="360"/>
      </w:pPr>
      <w:rPr>
        <w:rFonts w:ascii="Symbol" w:hAnsi="Symbol" w:hint="default"/>
      </w:rPr>
    </w:lvl>
    <w:lvl w:ilvl="4" w:tplc="04090003">
      <w:start w:val="1"/>
      <w:numFmt w:val="bullet"/>
      <w:lvlText w:val="o"/>
      <w:lvlJc w:val="left"/>
      <w:pPr>
        <w:ind w:left="3920" w:hanging="360"/>
      </w:pPr>
      <w:rPr>
        <w:rFonts w:ascii="Courier New" w:hAnsi="Courier New" w:cs="Courier New" w:hint="default"/>
      </w:rPr>
    </w:lvl>
    <w:lvl w:ilvl="5" w:tplc="04090005">
      <w:start w:val="1"/>
      <w:numFmt w:val="bullet"/>
      <w:lvlText w:val=""/>
      <w:lvlJc w:val="left"/>
      <w:pPr>
        <w:ind w:left="4640" w:hanging="360"/>
      </w:pPr>
      <w:rPr>
        <w:rFonts w:ascii="Wingdings" w:hAnsi="Wingdings" w:hint="default"/>
      </w:rPr>
    </w:lvl>
    <w:lvl w:ilvl="6" w:tplc="04090001">
      <w:start w:val="1"/>
      <w:numFmt w:val="bullet"/>
      <w:lvlText w:val=""/>
      <w:lvlJc w:val="left"/>
      <w:pPr>
        <w:ind w:left="5360" w:hanging="360"/>
      </w:pPr>
      <w:rPr>
        <w:rFonts w:ascii="Symbol" w:hAnsi="Symbol" w:hint="default"/>
      </w:rPr>
    </w:lvl>
    <w:lvl w:ilvl="7" w:tplc="04090003">
      <w:start w:val="1"/>
      <w:numFmt w:val="bullet"/>
      <w:lvlText w:val="o"/>
      <w:lvlJc w:val="left"/>
      <w:pPr>
        <w:ind w:left="6080" w:hanging="360"/>
      </w:pPr>
      <w:rPr>
        <w:rFonts w:ascii="Courier New" w:hAnsi="Courier New" w:cs="Courier New" w:hint="default"/>
      </w:rPr>
    </w:lvl>
    <w:lvl w:ilvl="8" w:tplc="04090005">
      <w:start w:val="1"/>
      <w:numFmt w:val="bullet"/>
      <w:lvlText w:val=""/>
      <w:lvlJc w:val="left"/>
      <w:pPr>
        <w:ind w:left="6800" w:hanging="360"/>
      </w:pPr>
      <w:rPr>
        <w:rFonts w:ascii="Wingdings" w:hAnsi="Wingdings" w:hint="default"/>
      </w:rPr>
    </w:lvl>
  </w:abstractNum>
  <w:abstractNum w:abstractNumId="2" w15:restartNumberingAfterBreak="0">
    <w:nsid w:val="0BE1605A"/>
    <w:multiLevelType w:val="hybridMultilevel"/>
    <w:tmpl w:val="BFA4881E"/>
    <w:lvl w:ilvl="0" w:tplc="856623CA">
      <w:start w:val="1"/>
      <w:numFmt w:val="decimal"/>
      <w:lvlText w:val="%1."/>
      <w:lvlJc w:val="left"/>
      <w:pPr>
        <w:ind w:left="1400" w:hanging="720"/>
      </w:pPr>
      <w:rPr>
        <w:b/>
        <w:bCs/>
        <w:color w:val="ED7D31" w:themeColor="accent2"/>
      </w:r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abstractNum w:abstractNumId="3" w15:restartNumberingAfterBreak="0">
    <w:nsid w:val="0D343C45"/>
    <w:multiLevelType w:val="hybridMultilevel"/>
    <w:tmpl w:val="26CE1320"/>
    <w:lvl w:ilvl="0" w:tplc="BE9286E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A221ED"/>
    <w:multiLevelType w:val="hybridMultilevel"/>
    <w:tmpl w:val="781E80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0314E"/>
    <w:multiLevelType w:val="hybridMultilevel"/>
    <w:tmpl w:val="9856C9E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C0F352C"/>
    <w:multiLevelType w:val="hybridMultilevel"/>
    <w:tmpl w:val="2CA409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2817937"/>
    <w:multiLevelType w:val="multilevel"/>
    <w:tmpl w:val="3CD087C2"/>
    <w:styleLink w:val="NumbLstNumb"/>
    <w:lvl w:ilvl="0">
      <w:start w:val="1"/>
      <w:numFmt w:val="lowerRoman"/>
      <w:pStyle w:val="ExecSummPara"/>
      <w:lvlText w:val="%1."/>
      <w:lvlJc w:val="left"/>
      <w:pPr>
        <w:tabs>
          <w:tab w:val="num" w:pos="680"/>
        </w:tabs>
        <w:ind w:left="680" w:hanging="680"/>
      </w:pPr>
    </w:lvl>
    <w:lvl w:ilvl="1">
      <w:start w:val="1"/>
      <w:numFmt w:val="bullet"/>
      <w:pStyle w:val="Execsummbullet"/>
      <w:lvlText w:val=""/>
      <w:lvlJc w:val="left"/>
      <w:pPr>
        <w:tabs>
          <w:tab w:val="num" w:pos="1361"/>
        </w:tabs>
        <w:ind w:left="1361" w:hanging="681"/>
      </w:pPr>
      <w:rPr>
        <w:rFonts w:ascii="Symbol" w:hAnsi="Symbol" w:hint="default"/>
        <w:color w:val="FF5000"/>
        <w:sz w:val="18"/>
      </w:rPr>
    </w:lvl>
    <w:lvl w:ilvl="2">
      <w:start w:val="1"/>
      <w:numFmt w:val="decimal"/>
      <w:pStyle w:val="ExecSummTableTitle"/>
      <w:suff w:val="space"/>
      <w:lvlText w:val="Table %3"/>
      <w:lvlJc w:val="left"/>
      <w:pPr>
        <w:ind w:left="703" w:firstLine="0"/>
      </w:pPr>
    </w:lvl>
    <w:lvl w:ilvl="3">
      <w:start w:val="1"/>
      <w:numFmt w:val="none"/>
      <w:suff w:val="nothing"/>
      <w:lvlText w:val=""/>
      <w:lvlJc w:val="left"/>
      <w:pPr>
        <w:ind w:left="1361" w:firstLine="0"/>
      </w:pPr>
    </w:lvl>
    <w:lvl w:ilvl="4">
      <w:start w:val="1"/>
      <w:numFmt w:val="none"/>
      <w:suff w:val="nothing"/>
      <w:lvlText w:val=""/>
      <w:lvlJc w:val="left"/>
      <w:pPr>
        <w:ind w:left="1361" w:firstLine="0"/>
      </w:pPr>
    </w:lvl>
    <w:lvl w:ilvl="5">
      <w:start w:val="1"/>
      <w:numFmt w:val="none"/>
      <w:suff w:val="nothing"/>
      <w:lvlText w:val=""/>
      <w:lvlJc w:val="left"/>
      <w:pPr>
        <w:ind w:left="1361" w:firstLine="0"/>
      </w:pPr>
    </w:lvl>
    <w:lvl w:ilvl="6">
      <w:start w:val="1"/>
      <w:numFmt w:val="none"/>
      <w:suff w:val="nothing"/>
      <w:lvlText w:val=""/>
      <w:lvlJc w:val="left"/>
      <w:pPr>
        <w:ind w:left="1361" w:firstLine="0"/>
      </w:pPr>
    </w:lvl>
    <w:lvl w:ilvl="7">
      <w:start w:val="1"/>
      <w:numFmt w:val="none"/>
      <w:suff w:val="nothing"/>
      <w:lvlText w:val=""/>
      <w:lvlJc w:val="left"/>
      <w:pPr>
        <w:ind w:left="1361" w:firstLine="0"/>
      </w:pPr>
    </w:lvl>
    <w:lvl w:ilvl="8">
      <w:start w:val="1"/>
      <w:numFmt w:val="none"/>
      <w:suff w:val="nothing"/>
      <w:lvlText w:val=""/>
      <w:lvlJc w:val="left"/>
      <w:pPr>
        <w:ind w:left="1361" w:firstLine="0"/>
      </w:pPr>
    </w:lvl>
  </w:abstractNum>
  <w:abstractNum w:abstractNumId="8" w15:restartNumberingAfterBreak="0">
    <w:nsid w:val="285344B1"/>
    <w:multiLevelType w:val="hybridMultilevel"/>
    <w:tmpl w:val="0B10BCB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3E3F0E"/>
    <w:multiLevelType w:val="hybridMultilevel"/>
    <w:tmpl w:val="2A568AEA"/>
    <w:lvl w:ilvl="0" w:tplc="C6321926">
      <w:start w:val="18"/>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34A679E"/>
    <w:multiLevelType w:val="hybridMultilevel"/>
    <w:tmpl w:val="E2B61936"/>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5234E15"/>
    <w:multiLevelType w:val="hybridMultilevel"/>
    <w:tmpl w:val="73B669F0"/>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37394345"/>
    <w:multiLevelType w:val="hybridMultilevel"/>
    <w:tmpl w:val="CF36C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256203"/>
    <w:multiLevelType w:val="hybridMultilevel"/>
    <w:tmpl w:val="B2C83258"/>
    <w:lvl w:ilvl="0" w:tplc="524A710A">
      <w:start w:val="1"/>
      <w:numFmt w:val="bullet"/>
      <w:lvlText w:val=""/>
      <w:lvlJc w:val="left"/>
      <w:pPr>
        <w:ind w:left="1040" w:hanging="360"/>
      </w:pPr>
      <w:rPr>
        <w:rFonts w:ascii="Symbol" w:hAnsi="Symbol" w:hint="default"/>
        <w:color w:val="4472C4" w:themeColor="accent1"/>
      </w:rPr>
    </w:lvl>
    <w:lvl w:ilvl="1" w:tplc="04090003">
      <w:start w:val="1"/>
      <w:numFmt w:val="bullet"/>
      <w:lvlText w:val="o"/>
      <w:lvlJc w:val="left"/>
      <w:pPr>
        <w:ind w:left="1760" w:hanging="360"/>
      </w:pPr>
      <w:rPr>
        <w:rFonts w:ascii="Courier New" w:hAnsi="Courier New" w:cs="Courier New" w:hint="default"/>
      </w:rPr>
    </w:lvl>
    <w:lvl w:ilvl="2" w:tplc="04090005">
      <w:start w:val="1"/>
      <w:numFmt w:val="bullet"/>
      <w:lvlText w:val=""/>
      <w:lvlJc w:val="left"/>
      <w:pPr>
        <w:ind w:left="2480" w:hanging="360"/>
      </w:pPr>
      <w:rPr>
        <w:rFonts w:ascii="Wingdings" w:hAnsi="Wingdings" w:hint="default"/>
      </w:rPr>
    </w:lvl>
    <w:lvl w:ilvl="3" w:tplc="04090001">
      <w:start w:val="1"/>
      <w:numFmt w:val="bullet"/>
      <w:lvlText w:val=""/>
      <w:lvlJc w:val="left"/>
      <w:pPr>
        <w:ind w:left="3200" w:hanging="360"/>
      </w:pPr>
      <w:rPr>
        <w:rFonts w:ascii="Symbol" w:hAnsi="Symbol" w:hint="default"/>
      </w:rPr>
    </w:lvl>
    <w:lvl w:ilvl="4" w:tplc="04090003">
      <w:start w:val="1"/>
      <w:numFmt w:val="bullet"/>
      <w:lvlText w:val="o"/>
      <w:lvlJc w:val="left"/>
      <w:pPr>
        <w:ind w:left="3920" w:hanging="360"/>
      </w:pPr>
      <w:rPr>
        <w:rFonts w:ascii="Courier New" w:hAnsi="Courier New" w:cs="Courier New" w:hint="default"/>
      </w:rPr>
    </w:lvl>
    <w:lvl w:ilvl="5" w:tplc="04090005">
      <w:start w:val="1"/>
      <w:numFmt w:val="bullet"/>
      <w:lvlText w:val=""/>
      <w:lvlJc w:val="left"/>
      <w:pPr>
        <w:ind w:left="4640" w:hanging="360"/>
      </w:pPr>
      <w:rPr>
        <w:rFonts w:ascii="Wingdings" w:hAnsi="Wingdings" w:hint="default"/>
      </w:rPr>
    </w:lvl>
    <w:lvl w:ilvl="6" w:tplc="04090001">
      <w:start w:val="1"/>
      <w:numFmt w:val="bullet"/>
      <w:lvlText w:val=""/>
      <w:lvlJc w:val="left"/>
      <w:pPr>
        <w:ind w:left="5360" w:hanging="360"/>
      </w:pPr>
      <w:rPr>
        <w:rFonts w:ascii="Symbol" w:hAnsi="Symbol" w:hint="default"/>
      </w:rPr>
    </w:lvl>
    <w:lvl w:ilvl="7" w:tplc="04090003">
      <w:start w:val="1"/>
      <w:numFmt w:val="bullet"/>
      <w:lvlText w:val="o"/>
      <w:lvlJc w:val="left"/>
      <w:pPr>
        <w:ind w:left="6080" w:hanging="360"/>
      </w:pPr>
      <w:rPr>
        <w:rFonts w:ascii="Courier New" w:hAnsi="Courier New" w:cs="Courier New" w:hint="default"/>
      </w:rPr>
    </w:lvl>
    <w:lvl w:ilvl="8" w:tplc="04090005">
      <w:start w:val="1"/>
      <w:numFmt w:val="bullet"/>
      <w:lvlText w:val=""/>
      <w:lvlJc w:val="left"/>
      <w:pPr>
        <w:ind w:left="6800" w:hanging="360"/>
      </w:pPr>
      <w:rPr>
        <w:rFonts w:ascii="Wingdings" w:hAnsi="Wingdings" w:hint="default"/>
      </w:rPr>
    </w:lvl>
  </w:abstractNum>
  <w:abstractNum w:abstractNumId="14" w15:restartNumberingAfterBreak="0">
    <w:nsid w:val="3B9E6A31"/>
    <w:multiLevelType w:val="multilevel"/>
    <w:tmpl w:val="036210C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eastAsiaTheme="minorHAnsi" w:cstheme="minorBidi" w:hint="default"/>
        <w:b w:val="0"/>
        <w:bCs w:val="0"/>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15" w15:restartNumberingAfterBreak="0">
    <w:nsid w:val="43572D0C"/>
    <w:multiLevelType w:val="hybridMultilevel"/>
    <w:tmpl w:val="CE6C7F06"/>
    <w:lvl w:ilvl="0" w:tplc="849AA03C">
      <w:start w:val="1"/>
      <w:numFmt w:val="bullet"/>
      <w:lvlText w:val="•"/>
      <w:lvlJc w:val="left"/>
      <w:pPr>
        <w:tabs>
          <w:tab w:val="num" w:pos="720"/>
        </w:tabs>
        <w:ind w:left="720" w:hanging="360"/>
      </w:pPr>
      <w:rPr>
        <w:rFonts w:ascii="Arial" w:hAnsi="Arial" w:hint="default"/>
      </w:rPr>
    </w:lvl>
    <w:lvl w:ilvl="1" w:tplc="C8B20B5C" w:tentative="1">
      <w:start w:val="1"/>
      <w:numFmt w:val="bullet"/>
      <w:lvlText w:val="•"/>
      <w:lvlJc w:val="left"/>
      <w:pPr>
        <w:tabs>
          <w:tab w:val="num" w:pos="1440"/>
        </w:tabs>
        <w:ind w:left="1440" w:hanging="360"/>
      </w:pPr>
      <w:rPr>
        <w:rFonts w:ascii="Arial" w:hAnsi="Arial" w:hint="default"/>
      </w:rPr>
    </w:lvl>
    <w:lvl w:ilvl="2" w:tplc="35623990" w:tentative="1">
      <w:start w:val="1"/>
      <w:numFmt w:val="bullet"/>
      <w:lvlText w:val="•"/>
      <w:lvlJc w:val="left"/>
      <w:pPr>
        <w:tabs>
          <w:tab w:val="num" w:pos="2160"/>
        </w:tabs>
        <w:ind w:left="2160" w:hanging="360"/>
      </w:pPr>
      <w:rPr>
        <w:rFonts w:ascii="Arial" w:hAnsi="Arial" w:hint="default"/>
      </w:rPr>
    </w:lvl>
    <w:lvl w:ilvl="3" w:tplc="AF5037E6" w:tentative="1">
      <w:start w:val="1"/>
      <w:numFmt w:val="bullet"/>
      <w:lvlText w:val="•"/>
      <w:lvlJc w:val="left"/>
      <w:pPr>
        <w:tabs>
          <w:tab w:val="num" w:pos="2880"/>
        </w:tabs>
        <w:ind w:left="2880" w:hanging="360"/>
      </w:pPr>
      <w:rPr>
        <w:rFonts w:ascii="Arial" w:hAnsi="Arial" w:hint="default"/>
      </w:rPr>
    </w:lvl>
    <w:lvl w:ilvl="4" w:tplc="FD30E3F0" w:tentative="1">
      <w:start w:val="1"/>
      <w:numFmt w:val="bullet"/>
      <w:lvlText w:val="•"/>
      <w:lvlJc w:val="left"/>
      <w:pPr>
        <w:tabs>
          <w:tab w:val="num" w:pos="3600"/>
        </w:tabs>
        <w:ind w:left="3600" w:hanging="360"/>
      </w:pPr>
      <w:rPr>
        <w:rFonts w:ascii="Arial" w:hAnsi="Arial" w:hint="default"/>
      </w:rPr>
    </w:lvl>
    <w:lvl w:ilvl="5" w:tplc="E988BF0E" w:tentative="1">
      <w:start w:val="1"/>
      <w:numFmt w:val="bullet"/>
      <w:lvlText w:val="•"/>
      <w:lvlJc w:val="left"/>
      <w:pPr>
        <w:tabs>
          <w:tab w:val="num" w:pos="4320"/>
        </w:tabs>
        <w:ind w:left="4320" w:hanging="360"/>
      </w:pPr>
      <w:rPr>
        <w:rFonts w:ascii="Arial" w:hAnsi="Arial" w:hint="default"/>
      </w:rPr>
    </w:lvl>
    <w:lvl w:ilvl="6" w:tplc="33103C68" w:tentative="1">
      <w:start w:val="1"/>
      <w:numFmt w:val="bullet"/>
      <w:lvlText w:val="•"/>
      <w:lvlJc w:val="left"/>
      <w:pPr>
        <w:tabs>
          <w:tab w:val="num" w:pos="5040"/>
        </w:tabs>
        <w:ind w:left="5040" w:hanging="360"/>
      </w:pPr>
      <w:rPr>
        <w:rFonts w:ascii="Arial" w:hAnsi="Arial" w:hint="default"/>
      </w:rPr>
    </w:lvl>
    <w:lvl w:ilvl="7" w:tplc="BFD257B6" w:tentative="1">
      <w:start w:val="1"/>
      <w:numFmt w:val="bullet"/>
      <w:lvlText w:val="•"/>
      <w:lvlJc w:val="left"/>
      <w:pPr>
        <w:tabs>
          <w:tab w:val="num" w:pos="5760"/>
        </w:tabs>
        <w:ind w:left="5760" w:hanging="360"/>
      </w:pPr>
      <w:rPr>
        <w:rFonts w:ascii="Arial" w:hAnsi="Arial" w:hint="default"/>
      </w:rPr>
    </w:lvl>
    <w:lvl w:ilvl="8" w:tplc="636230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3A17AB"/>
    <w:multiLevelType w:val="hybridMultilevel"/>
    <w:tmpl w:val="39ACED52"/>
    <w:lvl w:ilvl="0" w:tplc="08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50075ED0"/>
    <w:multiLevelType w:val="hybridMultilevel"/>
    <w:tmpl w:val="4E685096"/>
    <w:lvl w:ilvl="0" w:tplc="524A710A">
      <w:start w:val="1"/>
      <w:numFmt w:val="bullet"/>
      <w:lvlText w:val=""/>
      <w:lvlJc w:val="left"/>
      <w:pPr>
        <w:ind w:left="1040" w:hanging="360"/>
      </w:pPr>
      <w:rPr>
        <w:rFonts w:ascii="Symbol" w:hAnsi="Symbol" w:hint="default"/>
        <w:color w:val="4472C4" w:themeColor="accent1"/>
      </w:rPr>
    </w:lvl>
    <w:lvl w:ilvl="1" w:tplc="04090003">
      <w:start w:val="1"/>
      <w:numFmt w:val="bullet"/>
      <w:lvlText w:val="o"/>
      <w:lvlJc w:val="left"/>
      <w:pPr>
        <w:ind w:left="1760" w:hanging="360"/>
      </w:pPr>
      <w:rPr>
        <w:rFonts w:ascii="Courier New" w:hAnsi="Courier New" w:cs="Courier New" w:hint="default"/>
      </w:rPr>
    </w:lvl>
    <w:lvl w:ilvl="2" w:tplc="04090005">
      <w:start w:val="1"/>
      <w:numFmt w:val="bullet"/>
      <w:lvlText w:val=""/>
      <w:lvlJc w:val="left"/>
      <w:pPr>
        <w:ind w:left="2480" w:hanging="360"/>
      </w:pPr>
      <w:rPr>
        <w:rFonts w:ascii="Wingdings" w:hAnsi="Wingdings" w:hint="default"/>
      </w:rPr>
    </w:lvl>
    <w:lvl w:ilvl="3" w:tplc="04090001">
      <w:start w:val="1"/>
      <w:numFmt w:val="bullet"/>
      <w:lvlText w:val=""/>
      <w:lvlJc w:val="left"/>
      <w:pPr>
        <w:ind w:left="3200" w:hanging="360"/>
      </w:pPr>
      <w:rPr>
        <w:rFonts w:ascii="Symbol" w:hAnsi="Symbol" w:hint="default"/>
      </w:rPr>
    </w:lvl>
    <w:lvl w:ilvl="4" w:tplc="04090003">
      <w:start w:val="1"/>
      <w:numFmt w:val="bullet"/>
      <w:lvlText w:val="o"/>
      <w:lvlJc w:val="left"/>
      <w:pPr>
        <w:ind w:left="3920" w:hanging="360"/>
      </w:pPr>
      <w:rPr>
        <w:rFonts w:ascii="Courier New" w:hAnsi="Courier New" w:cs="Courier New" w:hint="default"/>
      </w:rPr>
    </w:lvl>
    <w:lvl w:ilvl="5" w:tplc="04090005">
      <w:start w:val="1"/>
      <w:numFmt w:val="bullet"/>
      <w:lvlText w:val=""/>
      <w:lvlJc w:val="left"/>
      <w:pPr>
        <w:ind w:left="4640" w:hanging="360"/>
      </w:pPr>
      <w:rPr>
        <w:rFonts w:ascii="Wingdings" w:hAnsi="Wingdings" w:hint="default"/>
      </w:rPr>
    </w:lvl>
    <w:lvl w:ilvl="6" w:tplc="04090001">
      <w:start w:val="1"/>
      <w:numFmt w:val="bullet"/>
      <w:lvlText w:val=""/>
      <w:lvlJc w:val="left"/>
      <w:pPr>
        <w:ind w:left="5360" w:hanging="360"/>
      </w:pPr>
      <w:rPr>
        <w:rFonts w:ascii="Symbol" w:hAnsi="Symbol" w:hint="default"/>
      </w:rPr>
    </w:lvl>
    <w:lvl w:ilvl="7" w:tplc="04090003">
      <w:start w:val="1"/>
      <w:numFmt w:val="bullet"/>
      <w:lvlText w:val="o"/>
      <w:lvlJc w:val="left"/>
      <w:pPr>
        <w:ind w:left="6080" w:hanging="360"/>
      </w:pPr>
      <w:rPr>
        <w:rFonts w:ascii="Courier New" w:hAnsi="Courier New" w:cs="Courier New" w:hint="default"/>
      </w:rPr>
    </w:lvl>
    <w:lvl w:ilvl="8" w:tplc="04090005">
      <w:start w:val="1"/>
      <w:numFmt w:val="bullet"/>
      <w:lvlText w:val=""/>
      <w:lvlJc w:val="left"/>
      <w:pPr>
        <w:ind w:left="6800" w:hanging="360"/>
      </w:pPr>
      <w:rPr>
        <w:rFonts w:ascii="Wingdings" w:hAnsi="Wingdings" w:hint="default"/>
      </w:rPr>
    </w:lvl>
  </w:abstractNum>
  <w:abstractNum w:abstractNumId="18" w15:restartNumberingAfterBreak="0">
    <w:nsid w:val="501F7DE8"/>
    <w:multiLevelType w:val="hybridMultilevel"/>
    <w:tmpl w:val="F6B41D56"/>
    <w:lvl w:ilvl="0" w:tplc="D464A68C">
      <w:start w:val="1"/>
      <w:numFmt w:val="decimal"/>
      <w:lvlText w:val="%1."/>
      <w:lvlJc w:val="left"/>
      <w:pPr>
        <w:tabs>
          <w:tab w:val="num" w:pos="720"/>
        </w:tabs>
        <w:ind w:left="720" w:hanging="360"/>
      </w:pPr>
    </w:lvl>
    <w:lvl w:ilvl="1" w:tplc="C14ADC0C" w:tentative="1">
      <w:start w:val="1"/>
      <w:numFmt w:val="decimal"/>
      <w:lvlText w:val="%2."/>
      <w:lvlJc w:val="left"/>
      <w:pPr>
        <w:tabs>
          <w:tab w:val="num" w:pos="1440"/>
        </w:tabs>
        <w:ind w:left="1440" w:hanging="360"/>
      </w:pPr>
    </w:lvl>
    <w:lvl w:ilvl="2" w:tplc="68F29E22" w:tentative="1">
      <w:start w:val="1"/>
      <w:numFmt w:val="decimal"/>
      <w:lvlText w:val="%3."/>
      <w:lvlJc w:val="left"/>
      <w:pPr>
        <w:tabs>
          <w:tab w:val="num" w:pos="2160"/>
        </w:tabs>
        <w:ind w:left="2160" w:hanging="360"/>
      </w:pPr>
    </w:lvl>
    <w:lvl w:ilvl="3" w:tplc="1ECE2208" w:tentative="1">
      <w:start w:val="1"/>
      <w:numFmt w:val="decimal"/>
      <w:lvlText w:val="%4."/>
      <w:lvlJc w:val="left"/>
      <w:pPr>
        <w:tabs>
          <w:tab w:val="num" w:pos="2880"/>
        </w:tabs>
        <w:ind w:left="2880" w:hanging="360"/>
      </w:pPr>
    </w:lvl>
    <w:lvl w:ilvl="4" w:tplc="06D698DC" w:tentative="1">
      <w:start w:val="1"/>
      <w:numFmt w:val="decimal"/>
      <w:lvlText w:val="%5."/>
      <w:lvlJc w:val="left"/>
      <w:pPr>
        <w:tabs>
          <w:tab w:val="num" w:pos="3600"/>
        </w:tabs>
        <w:ind w:left="3600" w:hanging="360"/>
      </w:pPr>
    </w:lvl>
    <w:lvl w:ilvl="5" w:tplc="94BA0BA2" w:tentative="1">
      <w:start w:val="1"/>
      <w:numFmt w:val="decimal"/>
      <w:lvlText w:val="%6."/>
      <w:lvlJc w:val="left"/>
      <w:pPr>
        <w:tabs>
          <w:tab w:val="num" w:pos="4320"/>
        </w:tabs>
        <w:ind w:left="4320" w:hanging="360"/>
      </w:pPr>
    </w:lvl>
    <w:lvl w:ilvl="6" w:tplc="84B0F772" w:tentative="1">
      <w:start w:val="1"/>
      <w:numFmt w:val="decimal"/>
      <w:lvlText w:val="%7."/>
      <w:lvlJc w:val="left"/>
      <w:pPr>
        <w:tabs>
          <w:tab w:val="num" w:pos="5040"/>
        </w:tabs>
        <w:ind w:left="5040" w:hanging="360"/>
      </w:pPr>
    </w:lvl>
    <w:lvl w:ilvl="7" w:tplc="9580D6C0" w:tentative="1">
      <w:start w:val="1"/>
      <w:numFmt w:val="decimal"/>
      <w:lvlText w:val="%8."/>
      <w:lvlJc w:val="left"/>
      <w:pPr>
        <w:tabs>
          <w:tab w:val="num" w:pos="5760"/>
        </w:tabs>
        <w:ind w:left="5760" w:hanging="360"/>
      </w:pPr>
    </w:lvl>
    <w:lvl w:ilvl="8" w:tplc="3FD8AC22" w:tentative="1">
      <w:start w:val="1"/>
      <w:numFmt w:val="decimal"/>
      <w:lvlText w:val="%9."/>
      <w:lvlJc w:val="left"/>
      <w:pPr>
        <w:tabs>
          <w:tab w:val="num" w:pos="6480"/>
        </w:tabs>
        <w:ind w:left="6480" w:hanging="360"/>
      </w:pPr>
    </w:lvl>
  </w:abstractNum>
  <w:abstractNum w:abstractNumId="19" w15:restartNumberingAfterBreak="0">
    <w:nsid w:val="51CA728C"/>
    <w:multiLevelType w:val="hybridMultilevel"/>
    <w:tmpl w:val="59929EF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542082A"/>
    <w:multiLevelType w:val="hybridMultilevel"/>
    <w:tmpl w:val="4FDE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F06BCE"/>
    <w:multiLevelType w:val="hybridMultilevel"/>
    <w:tmpl w:val="D068D270"/>
    <w:lvl w:ilvl="0" w:tplc="997CAE0E">
      <w:start w:val="3"/>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A593EAE"/>
    <w:multiLevelType w:val="hybridMultilevel"/>
    <w:tmpl w:val="A978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5172F8"/>
    <w:multiLevelType w:val="multilevel"/>
    <w:tmpl w:val="94DE94A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eastAsiaTheme="minorHAnsi" w:cstheme="minorBidi" w:hint="default"/>
        <w:b w:val="0"/>
        <w:bCs w:val="0"/>
      </w:rPr>
    </w:lvl>
    <w:lvl w:ilvl="2">
      <w:start w:val="1"/>
      <w:numFmt w:val="lowerLetter"/>
      <w:lvlText w:val="%3)"/>
      <w:lvlJc w:val="left"/>
      <w:pPr>
        <w:ind w:left="720" w:hanging="360"/>
      </w:p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24" w15:restartNumberingAfterBreak="0">
    <w:nsid w:val="5F5A516D"/>
    <w:multiLevelType w:val="hybridMultilevel"/>
    <w:tmpl w:val="03A081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0D1748B"/>
    <w:multiLevelType w:val="hybridMultilevel"/>
    <w:tmpl w:val="B59CD8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E16504"/>
    <w:multiLevelType w:val="multilevel"/>
    <w:tmpl w:val="13D2BE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27" w15:restartNumberingAfterBreak="0">
    <w:nsid w:val="68EB600A"/>
    <w:multiLevelType w:val="hybridMultilevel"/>
    <w:tmpl w:val="5BEE1E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3960AD2"/>
    <w:multiLevelType w:val="multilevel"/>
    <w:tmpl w:val="13D2BE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29" w15:restartNumberingAfterBreak="0">
    <w:nsid w:val="749955CE"/>
    <w:multiLevelType w:val="hybridMultilevel"/>
    <w:tmpl w:val="F098833A"/>
    <w:lvl w:ilvl="0" w:tplc="75720994">
      <w:numFmt w:val="bullet"/>
      <w:lvlText w:val=""/>
      <w:lvlJc w:val="left"/>
      <w:pPr>
        <w:ind w:left="927" w:hanging="360"/>
      </w:pPr>
      <w:rPr>
        <w:rFonts w:ascii="Symbol" w:eastAsiaTheme="minorHAnsi" w:hAnsi="Symbol"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79102907"/>
    <w:multiLevelType w:val="multilevel"/>
    <w:tmpl w:val="13D2BE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31" w15:restartNumberingAfterBreak="0">
    <w:nsid w:val="7EAB46C7"/>
    <w:multiLevelType w:val="hybridMultilevel"/>
    <w:tmpl w:val="F8742CC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100783487">
    <w:abstractNumId w:val="8"/>
  </w:num>
  <w:num w:numId="2" w16cid:durableId="73431074">
    <w:abstractNumId w:val="7"/>
  </w:num>
  <w:num w:numId="3" w16cid:durableId="20957385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9477908">
    <w:abstractNumId w:val="1"/>
  </w:num>
  <w:num w:numId="5" w16cid:durableId="1007756462">
    <w:abstractNumId w:val="17"/>
  </w:num>
  <w:num w:numId="6" w16cid:durableId="551423698">
    <w:abstractNumId w:val="13"/>
  </w:num>
  <w:num w:numId="7" w16cid:durableId="1498884192">
    <w:abstractNumId w:val="22"/>
  </w:num>
  <w:num w:numId="8" w16cid:durableId="6366586">
    <w:abstractNumId w:val="6"/>
  </w:num>
  <w:num w:numId="9" w16cid:durableId="1250843587">
    <w:abstractNumId w:val="9"/>
  </w:num>
  <w:num w:numId="10" w16cid:durableId="1534534714">
    <w:abstractNumId w:val="14"/>
  </w:num>
  <w:num w:numId="11" w16cid:durableId="1541867735">
    <w:abstractNumId w:val="30"/>
  </w:num>
  <w:num w:numId="12" w16cid:durableId="49422660">
    <w:abstractNumId w:val="20"/>
  </w:num>
  <w:num w:numId="13" w16cid:durableId="46614709">
    <w:abstractNumId w:val="28"/>
  </w:num>
  <w:num w:numId="14" w16cid:durableId="2081365326">
    <w:abstractNumId w:val="27"/>
  </w:num>
  <w:num w:numId="15" w16cid:durableId="85856086">
    <w:abstractNumId w:val="21"/>
  </w:num>
  <w:num w:numId="16" w16cid:durableId="1504397602">
    <w:abstractNumId w:val="0"/>
  </w:num>
  <w:num w:numId="17" w16cid:durableId="9861263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00615123">
    <w:abstractNumId w:val="15"/>
  </w:num>
  <w:num w:numId="19" w16cid:durableId="1878009453">
    <w:abstractNumId w:val="3"/>
  </w:num>
  <w:num w:numId="20" w16cid:durableId="681057062">
    <w:abstractNumId w:val="26"/>
  </w:num>
  <w:num w:numId="21" w16cid:durableId="958876751">
    <w:abstractNumId w:val="18"/>
  </w:num>
  <w:num w:numId="22" w16cid:durableId="136529417">
    <w:abstractNumId w:val="12"/>
  </w:num>
  <w:num w:numId="23" w16cid:durableId="1687176100">
    <w:abstractNumId w:val="5"/>
  </w:num>
  <w:num w:numId="24" w16cid:durableId="1424228534">
    <w:abstractNumId w:val="19"/>
  </w:num>
  <w:num w:numId="25" w16cid:durableId="1849640916">
    <w:abstractNumId w:val="29"/>
  </w:num>
  <w:num w:numId="26" w16cid:durableId="435447058">
    <w:abstractNumId w:val="11"/>
  </w:num>
  <w:num w:numId="27" w16cid:durableId="789126628">
    <w:abstractNumId w:val="24"/>
  </w:num>
  <w:num w:numId="28" w16cid:durableId="1315716588">
    <w:abstractNumId w:val="16"/>
  </w:num>
  <w:num w:numId="29" w16cid:durableId="839854139">
    <w:abstractNumId w:val="25"/>
  </w:num>
  <w:num w:numId="30" w16cid:durableId="1948807286">
    <w:abstractNumId w:val="31"/>
  </w:num>
  <w:num w:numId="31" w16cid:durableId="1318804699">
    <w:abstractNumId w:val="4"/>
  </w:num>
  <w:num w:numId="32" w16cid:durableId="444084671">
    <w:abstractNumId w:val="10"/>
  </w:num>
  <w:num w:numId="33" w16cid:durableId="142529830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A79"/>
    <w:rsid w:val="00002F57"/>
    <w:rsid w:val="00011765"/>
    <w:rsid w:val="00011949"/>
    <w:rsid w:val="00015207"/>
    <w:rsid w:val="000168DA"/>
    <w:rsid w:val="00020EF9"/>
    <w:rsid w:val="0002150E"/>
    <w:rsid w:val="000224D5"/>
    <w:rsid w:val="00032443"/>
    <w:rsid w:val="00032AF1"/>
    <w:rsid w:val="00032D87"/>
    <w:rsid w:val="00035AEF"/>
    <w:rsid w:val="0003720F"/>
    <w:rsid w:val="000407C2"/>
    <w:rsid w:val="00041FB6"/>
    <w:rsid w:val="00042293"/>
    <w:rsid w:val="0004499B"/>
    <w:rsid w:val="00044E68"/>
    <w:rsid w:val="00052993"/>
    <w:rsid w:val="000544E5"/>
    <w:rsid w:val="000574BF"/>
    <w:rsid w:val="0006146E"/>
    <w:rsid w:val="00072815"/>
    <w:rsid w:val="00072934"/>
    <w:rsid w:val="00073D92"/>
    <w:rsid w:val="000744BB"/>
    <w:rsid w:val="00076F2F"/>
    <w:rsid w:val="00080C15"/>
    <w:rsid w:val="00082978"/>
    <w:rsid w:val="00093A18"/>
    <w:rsid w:val="000953D5"/>
    <w:rsid w:val="0009604A"/>
    <w:rsid w:val="000A2CEC"/>
    <w:rsid w:val="000A2CF2"/>
    <w:rsid w:val="000A2E49"/>
    <w:rsid w:val="000A385F"/>
    <w:rsid w:val="000A676B"/>
    <w:rsid w:val="000B0E08"/>
    <w:rsid w:val="000B2013"/>
    <w:rsid w:val="000B37EA"/>
    <w:rsid w:val="000B3FBC"/>
    <w:rsid w:val="000B47BA"/>
    <w:rsid w:val="000B4A50"/>
    <w:rsid w:val="000C08A7"/>
    <w:rsid w:val="000C4D94"/>
    <w:rsid w:val="000C68DD"/>
    <w:rsid w:val="000C73A8"/>
    <w:rsid w:val="000D25E1"/>
    <w:rsid w:val="000D47DD"/>
    <w:rsid w:val="000D7908"/>
    <w:rsid w:val="000E3AEB"/>
    <w:rsid w:val="000E3ED3"/>
    <w:rsid w:val="000E4DE1"/>
    <w:rsid w:val="000F003E"/>
    <w:rsid w:val="000F28A8"/>
    <w:rsid w:val="00101B26"/>
    <w:rsid w:val="00105471"/>
    <w:rsid w:val="00113698"/>
    <w:rsid w:val="00114A29"/>
    <w:rsid w:val="00114C90"/>
    <w:rsid w:val="00115642"/>
    <w:rsid w:val="001161B9"/>
    <w:rsid w:val="00117D63"/>
    <w:rsid w:val="00122CC0"/>
    <w:rsid w:val="0012321B"/>
    <w:rsid w:val="00125956"/>
    <w:rsid w:val="00126064"/>
    <w:rsid w:val="00126FF8"/>
    <w:rsid w:val="00131106"/>
    <w:rsid w:val="00135CFF"/>
    <w:rsid w:val="0013698B"/>
    <w:rsid w:val="00143D7C"/>
    <w:rsid w:val="001460E5"/>
    <w:rsid w:val="0014693B"/>
    <w:rsid w:val="0015379E"/>
    <w:rsid w:val="0015423F"/>
    <w:rsid w:val="001636BE"/>
    <w:rsid w:val="001637FC"/>
    <w:rsid w:val="0016786B"/>
    <w:rsid w:val="00167BEC"/>
    <w:rsid w:val="00167E11"/>
    <w:rsid w:val="001778DF"/>
    <w:rsid w:val="00182FE5"/>
    <w:rsid w:val="001835BC"/>
    <w:rsid w:val="00190183"/>
    <w:rsid w:val="00192FCF"/>
    <w:rsid w:val="00193888"/>
    <w:rsid w:val="0019419C"/>
    <w:rsid w:val="00195264"/>
    <w:rsid w:val="00196663"/>
    <w:rsid w:val="00196959"/>
    <w:rsid w:val="001970F1"/>
    <w:rsid w:val="00197373"/>
    <w:rsid w:val="001A0808"/>
    <w:rsid w:val="001A2DF9"/>
    <w:rsid w:val="001A6DDA"/>
    <w:rsid w:val="001B1097"/>
    <w:rsid w:val="001B59D5"/>
    <w:rsid w:val="001C1A51"/>
    <w:rsid w:val="001D09D0"/>
    <w:rsid w:val="001D6A46"/>
    <w:rsid w:val="001E1148"/>
    <w:rsid w:val="001E2A76"/>
    <w:rsid w:val="001E4345"/>
    <w:rsid w:val="001E59E3"/>
    <w:rsid w:val="001E5B46"/>
    <w:rsid w:val="001E671B"/>
    <w:rsid w:val="001E6E78"/>
    <w:rsid w:val="001F2150"/>
    <w:rsid w:val="001F55D7"/>
    <w:rsid w:val="001F64AC"/>
    <w:rsid w:val="0020264A"/>
    <w:rsid w:val="00202C14"/>
    <w:rsid w:val="0020413A"/>
    <w:rsid w:val="002115DF"/>
    <w:rsid w:val="00211D20"/>
    <w:rsid w:val="00212436"/>
    <w:rsid w:val="00215506"/>
    <w:rsid w:val="00216FB3"/>
    <w:rsid w:val="00217237"/>
    <w:rsid w:val="00221F9A"/>
    <w:rsid w:val="002222E2"/>
    <w:rsid w:val="002224B0"/>
    <w:rsid w:val="0022393E"/>
    <w:rsid w:val="002240D1"/>
    <w:rsid w:val="00225F19"/>
    <w:rsid w:val="00226D54"/>
    <w:rsid w:val="002300DB"/>
    <w:rsid w:val="00232636"/>
    <w:rsid w:val="002353C4"/>
    <w:rsid w:val="0023591F"/>
    <w:rsid w:val="002365DD"/>
    <w:rsid w:val="00242612"/>
    <w:rsid w:val="00246838"/>
    <w:rsid w:val="00247685"/>
    <w:rsid w:val="00250256"/>
    <w:rsid w:val="002505E3"/>
    <w:rsid w:val="00251EC9"/>
    <w:rsid w:val="00252EAD"/>
    <w:rsid w:val="002540A4"/>
    <w:rsid w:val="0025574C"/>
    <w:rsid w:val="00255EB9"/>
    <w:rsid w:val="00257D6E"/>
    <w:rsid w:val="00260E81"/>
    <w:rsid w:val="00264EBB"/>
    <w:rsid w:val="00265797"/>
    <w:rsid w:val="00267F95"/>
    <w:rsid w:val="002718CC"/>
    <w:rsid w:val="002727B0"/>
    <w:rsid w:val="00272B33"/>
    <w:rsid w:val="00275FFF"/>
    <w:rsid w:val="00280943"/>
    <w:rsid w:val="002868A3"/>
    <w:rsid w:val="0029469A"/>
    <w:rsid w:val="0029682F"/>
    <w:rsid w:val="002A0733"/>
    <w:rsid w:val="002A29B2"/>
    <w:rsid w:val="002A3B85"/>
    <w:rsid w:val="002B297D"/>
    <w:rsid w:val="002B2BE8"/>
    <w:rsid w:val="002B539F"/>
    <w:rsid w:val="002B6D44"/>
    <w:rsid w:val="002C0E2E"/>
    <w:rsid w:val="002C34C1"/>
    <w:rsid w:val="002C4AF0"/>
    <w:rsid w:val="002C5443"/>
    <w:rsid w:val="002D00E0"/>
    <w:rsid w:val="002D05E7"/>
    <w:rsid w:val="002D4EE7"/>
    <w:rsid w:val="002D60ED"/>
    <w:rsid w:val="002D660A"/>
    <w:rsid w:val="002D727B"/>
    <w:rsid w:val="002D7653"/>
    <w:rsid w:val="002D79D3"/>
    <w:rsid w:val="002F4A66"/>
    <w:rsid w:val="002F5379"/>
    <w:rsid w:val="002F5571"/>
    <w:rsid w:val="002F7C98"/>
    <w:rsid w:val="00300D1D"/>
    <w:rsid w:val="00312AC5"/>
    <w:rsid w:val="00313CF6"/>
    <w:rsid w:val="00320243"/>
    <w:rsid w:val="0032246F"/>
    <w:rsid w:val="00326D70"/>
    <w:rsid w:val="0032782E"/>
    <w:rsid w:val="00327AFF"/>
    <w:rsid w:val="00330FF6"/>
    <w:rsid w:val="00334E55"/>
    <w:rsid w:val="00335094"/>
    <w:rsid w:val="00336A1F"/>
    <w:rsid w:val="0033715D"/>
    <w:rsid w:val="0034459C"/>
    <w:rsid w:val="00344783"/>
    <w:rsid w:val="00347B18"/>
    <w:rsid w:val="003509C6"/>
    <w:rsid w:val="00352007"/>
    <w:rsid w:val="00353C0F"/>
    <w:rsid w:val="00353DDC"/>
    <w:rsid w:val="003579C9"/>
    <w:rsid w:val="00361353"/>
    <w:rsid w:val="00362841"/>
    <w:rsid w:val="00367D33"/>
    <w:rsid w:val="00367ED5"/>
    <w:rsid w:val="00372E66"/>
    <w:rsid w:val="003734FD"/>
    <w:rsid w:val="00380B64"/>
    <w:rsid w:val="00382C26"/>
    <w:rsid w:val="00385407"/>
    <w:rsid w:val="003913AF"/>
    <w:rsid w:val="00391999"/>
    <w:rsid w:val="00392C03"/>
    <w:rsid w:val="003947EA"/>
    <w:rsid w:val="003A268B"/>
    <w:rsid w:val="003A3148"/>
    <w:rsid w:val="003A5678"/>
    <w:rsid w:val="003A671A"/>
    <w:rsid w:val="003A69B7"/>
    <w:rsid w:val="003A7DAD"/>
    <w:rsid w:val="003A7FA9"/>
    <w:rsid w:val="003B0944"/>
    <w:rsid w:val="003B2451"/>
    <w:rsid w:val="003B24C7"/>
    <w:rsid w:val="003B26D7"/>
    <w:rsid w:val="003B6D6C"/>
    <w:rsid w:val="003B71B7"/>
    <w:rsid w:val="003C158B"/>
    <w:rsid w:val="003C3D64"/>
    <w:rsid w:val="003D0857"/>
    <w:rsid w:val="003D0A3C"/>
    <w:rsid w:val="003D53DC"/>
    <w:rsid w:val="003D5A59"/>
    <w:rsid w:val="003E3299"/>
    <w:rsid w:val="003E4152"/>
    <w:rsid w:val="003E6831"/>
    <w:rsid w:val="003E71B6"/>
    <w:rsid w:val="003E74A0"/>
    <w:rsid w:val="003E7999"/>
    <w:rsid w:val="003F2757"/>
    <w:rsid w:val="003F6664"/>
    <w:rsid w:val="004003C9"/>
    <w:rsid w:val="00401E8C"/>
    <w:rsid w:val="00401F3C"/>
    <w:rsid w:val="00414FED"/>
    <w:rsid w:val="0042258A"/>
    <w:rsid w:val="004243D8"/>
    <w:rsid w:val="00424424"/>
    <w:rsid w:val="00426F33"/>
    <w:rsid w:val="004279D5"/>
    <w:rsid w:val="00431855"/>
    <w:rsid w:val="00446FF8"/>
    <w:rsid w:val="00450567"/>
    <w:rsid w:val="004612E4"/>
    <w:rsid w:val="00461ECD"/>
    <w:rsid w:val="0046592A"/>
    <w:rsid w:val="004705BC"/>
    <w:rsid w:val="0047121C"/>
    <w:rsid w:val="00471FD6"/>
    <w:rsid w:val="00472A5F"/>
    <w:rsid w:val="0047712A"/>
    <w:rsid w:val="004804EC"/>
    <w:rsid w:val="0048091D"/>
    <w:rsid w:val="004815CA"/>
    <w:rsid w:val="0048394E"/>
    <w:rsid w:val="00486567"/>
    <w:rsid w:val="00490BDE"/>
    <w:rsid w:val="0049496B"/>
    <w:rsid w:val="00497807"/>
    <w:rsid w:val="004A1721"/>
    <w:rsid w:val="004A2CB1"/>
    <w:rsid w:val="004A45CF"/>
    <w:rsid w:val="004A5449"/>
    <w:rsid w:val="004A6447"/>
    <w:rsid w:val="004B41B3"/>
    <w:rsid w:val="004B501B"/>
    <w:rsid w:val="004B78C8"/>
    <w:rsid w:val="004C1545"/>
    <w:rsid w:val="004C3D63"/>
    <w:rsid w:val="004C4FC8"/>
    <w:rsid w:val="004D4886"/>
    <w:rsid w:val="004D69F4"/>
    <w:rsid w:val="004E5A18"/>
    <w:rsid w:val="004E6131"/>
    <w:rsid w:val="004E6465"/>
    <w:rsid w:val="004E699D"/>
    <w:rsid w:val="004E7767"/>
    <w:rsid w:val="004F31E0"/>
    <w:rsid w:val="004F36F3"/>
    <w:rsid w:val="004F78DA"/>
    <w:rsid w:val="00514EEB"/>
    <w:rsid w:val="005235EE"/>
    <w:rsid w:val="005322F0"/>
    <w:rsid w:val="00532A83"/>
    <w:rsid w:val="00533B45"/>
    <w:rsid w:val="00535AE2"/>
    <w:rsid w:val="00536672"/>
    <w:rsid w:val="005411A4"/>
    <w:rsid w:val="00541BC6"/>
    <w:rsid w:val="0054565C"/>
    <w:rsid w:val="005464FB"/>
    <w:rsid w:val="005520D4"/>
    <w:rsid w:val="00553F16"/>
    <w:rsid w:val="00557DDB"/>
    <w:rsid w:val="00557EDF"/>
    <w:rsid w:val="0056756C"/>
    <w:rsid w:val="0056768C"/>
    <w:rsid w:val="005729BB"/>
    <w:rsid w:val="00574942"/>
    <w:rsid w:val="00575715"/>
    <w:rsid w:val="005829C8"/>
    <w:rsid w:val="0058369C"/>
    <w:rsid w:val="005839F1"/>
    <w:rsid w:val="00583CC7"/>
    <w:rsid w:val="00586A06"/>
    <w:rsid w:val="00587C72"/>
    <w:rsid w:val="00593DAD"/>
    <w:rsid w:val="00595707"/>
    <w:rsid w:val="00595D1B"/>
    <w:rsid w:val="00596976"/>
    <w:rsid w:val="005A081A"/>
    <w:rsid w:val="005A238A"/>
    <w:rsid w:val="005A474A"/>
    <w:rsid w:val="005A4ED0"/>
    <w:rsid w:val="005A6383"/>
    <w:rsid w:val="005B4A79"/>
    <w:rsid w:val="005B6362"/>
    <w:rsid w:val="005C0776"/>
    <w:rsid w:val="005C6097"/>
    <w:rsid w:val="005D035B"/>
    <w:rsid w:val="005D7301"/>
    <w:rsid w:val="005D7BEA"/>
    <w:rsid w:val="005E31F6"/>
    <w:rsid w:val="005E3C36"/>
    <w:rsid w:val="005E682C"/>
    <w:rsid w:val="005E6C23"/>
    <w:rsid w:val="005F1297"/>
    <w:rsid w:val="005F1F40"/>
    <w:rsid w:val="005F5EC2"/>
    <w:rsid w:val="005F715B"/>
    <w:rsid w:val="005F7C6A"/>
    <w:rsid w:val="0060114B"/>
    <w:rsid w:val="00606D09"/>
    <w:rsid w:val="00610CDC"/>
    <w:rsid w:val="006140D4"/>
    <w:rsid w:val="00623C43"/>
    <w:rsid w:val="00625E6A"/>
    <w:rsid w:val="006268A1"/>
    <w:rsid w:val="00627463"/>
    <w:rsid w:val="006308EB"/>
    <w:rsid w:val="00630978"/>
    <w:rsid w:val="0063777C"/>
    <w:rsid w:val="00640800"/>
    <w:rsid w:val="00653812"/>
    <w:rsid w:val="00654106"/>
    <w:rsid w:val="00654957"/>
    <w:rsid w:val="00656692"/>
    <w:rsid w:val="00657BA3"/>
    <w:rsid w:val="00662C7D"/>
    <w:rsid w:val="00665991"/>
    <w:rsid w:val="00671A91"/>
    <w:rsid w:val="00673CC5"/>
    <w:rsid w:val="00675250"/>
    <w:rsid w:val="00675BC4"/>
    <w:rsid w:val="00675CEB"/>
    <w:rsid w:val="00680202"/>
    <w:rsid w:val="00682B00"/>
    <w:rsid w:val="00684B1F"/>
    <w:rsid w:val="00684DED"/>
    <w:rsid w:val="00686CD6"/>
    <w:rsid w:val="00690C8A"/>
    <w:rsid w:val="00691608"/>
    <w:rsid w:val="006930CF"/>
    <w:rsid w:val="00693BD4"/>
    <w:rsid w:val="00697E1B"/>
    <w:rsid w:val="006A1EEF"/>
    <w:rsid w:val="006A59CB"/>
    <w:rsid w:val="006A67E7"/>
    <w:rsid w:val="006A6A4D"/>
    <w:rsid w:val="006A6D01"/>
    <w:rsid w:val="006A7B5E"/>
    <w:rsid w:val="006B0C2C"/>
    <w:rsid w:val="006B2347"/>
    <w:rsid w:val="006B31AF"/>
    <w:rsid w:val="006B3541"/>
    <w:rsid w:val="006B54DF"/>
    <w:rsid w:val="006B6C57"/>
    <w:rsid w:val="006C2BC5"/>
    <w:rsid w:val="006D07CE"/>
    <w:rsid w:val="006D5353"/>
    <w:rsid w:val="006E04EB"/>
    <w:rsid w:val="006E2459"/>
    <w:rsid w:val="006E31FC"/>
    <w:rsid w:val="006E407D"/>
    <w:rsid w:val="006E70D4"/>
    <w:rsid w:val="006F089E"/>
    <w:rsid w:val="006F1B8E"/>
    <w:rsid w:val="006F1C26"/>
    <w:rsid w:val="006F44CC"/>
    <w:rsid w:val="00703743"/>
    <w:rsid w:val="00704FDA"/>
    <w:rsid w:val="0071124E"/>
    <w:rsid w:val="00711AD0"/>
    <w:rsid w:val="00713273"/>
    <w:rsid w:val="00713B7D"/>
    <w:rsid w:val="0071627E"/>
    <w:rsid w:val="00717023"/>
    <w:rsid w:val="00724019"/>
    <w:rsid w:val="00724DCE"/>
    <w:rsid w:val="00725A50"/>
    <w:rsid w:val="00725F6A"/>
    <w:rsid w:val="007330AC"/>
    <w:rsid w:val="00734898"/>
    <w:rsid w:val="00740E5F"/>
    <w:rsid w:val="007431F0"/>
    <w:rsid w:val="007443E8"/>
    <w:rsid w:val="007451D6"/>
    <w:rsid w:val="007504F3"/>
    <w:rsid w:val="0075241E"/>
    <w:rsid w:val="00752CA6"/>
    <w:rsid w:val="007534FF"/>
    <w:rsid w:val="007548DF"/>
    <w:rsid w:val="007554D8"/>
    <w:rsid w:val="00755A0E"/>
    <w:rsid w:val="00760C4F"/>
    <w:rsid w:val="00761E0A"/>
    <w:rsid w:val="0076336C"/>
    <w:rsid w:val="00765697"/>
    <w:rsid w:val="007703BF"/>
    <w:rsid w:val="007714B6"/>
    <w:rsid w:val="0077217F"/>
    <w:rsid w:val="00772B4C"/>
    <w:rsid w:val="00772D35"/>
    <w:rsid w:val="007749DD"/>
    <w:rsid w:val="00777728"/>
    <w:rsid w:val="0078024F"/>
    <w:rsid w:val="00780BCA"/>
    <w:rsid w:val="00782A67"/>
    <w:rsid w:val="00785D87"/>
    <w:rsid w:val="0079256E"/>
    <w:rsid w:val="007950E7"/>
    <w:rsid w:val="00795ECA"/>
    <w:rsid w:val="0079781A"/>
    <w:rsid w:val="007A1FA3"/>
    <w:rsid w:val="007A31B0"/>
    <w:rsid w:val="007A3435"/>
    <w:rsid w:val="007A606F"/>
    <w:rsid w:val="007B3BDE"/>
    <w:rsid w:val="007B4003"/>
    <w:rsid w:val="007B509C"/>
    <w:rsid w:val="007B7653"/>
    <w:rsid w:val="007B7F86"/>
    <w:rsid w:val="007C080F"/>
    <w:rsid w:val="007C0C4E"/>
    <w:rsid w:val="007C266B"/>
    <w:rsid w:val="007C35C0"/>
    <w:rsid w:val="007C6E14"/>
    <w:rsid w:val="007D0924"/>
    <w:rsid w:val="007D5FDD"/>
    <w:rsid w:val="007D61D1"/>
    <w:rsid w:val="007D61E7"/>
    <w:rsid w:val="007D7973"/>
    <w:rsid w:val="007E01FD"/>
    <w:rsid w:val="007E1A64"/>
    <w:rsid w:val="007E5C22"/>
    <w:rsid w:val="007F0A8C"/>
    <w:rsid w:val="00804DFF"/>
    <w:rsid w:val="00806804"/>
    <w:rsid w:val="008132C3"/>
    <w:rsid w:val="00813D54"/>
    <w:rsid w:val="00815CBF"/>
    <w:rsid w:val="00817601"/>
    <w:rsid w:val="00820558"/>
    <w:rsid w:val="0082619E"/>
    <w:rsid w:val="00830C98"/>
    <w:rsid w:val="008345CE"/>
    <w:rsid w:val="008347EC"/>
    <w:rsid w:val="008442F6"/>
    <w:rsid w:val="00853A7A"/>
    <w:rsid w:val="00854408"/>
    <w:rsid w:val="00854E04"/>
    <w:rsid w:val="00855010"/>
    <w:rsid w:val="00855688"/>
    <w:rsid w:val="008617D3"/>
    <w:rsid w:val="00863C5D"/>
    <w:rsid w:val="00863E2B"/>
    <w:rsid w:val="00873C79"/>
    <w:rsid w:val="00874E7C"/>
    <w:rsid w:val="00876535"/>
    <w:rsid w:val="0088296B"/>
    <w:rsid w:val="00884853"/>
    <w:rsid w:val="00885051"/>
    <w:rsid w:val="00885298"/>
    <w:rsid w:val="00893756"/>
    <w:rsid w:val="008971F0"/>
    <w:rsid w:val="00897EF1"/>
    <w:rsid w:val="008A0AEA"/>
    <w:rsid w:val="008A17C2"/>
    <w:rsid w:val="008A1C2C"/>
    <w:rsid w:val="008A79C8"/>
    <w:rsid w:val="008B0FDF"/>
    <w:rsid w:val="008B48AD"/>
    <w:rsid w:val="008B5D23"/>
    <w:rsid w:val="008B78A2"/>
    <w:rsid w:val="008C386D"/>
    <w:rsid w:val="008C6A59"/>
    <w:rsid w:val="008D04E5"/>
    <w:rsid w:val="008D73D9"/>
    <w:rsid w:val="008D7EFF"/>
    <w:rsid w:val="008E2236"/>
    <w:rsid w:val="008E5B61"/>
    <w:rsid w:val="008F56C7"/>
    <w:rsid w:val="0090089B"/>
    <w:rsid w:val="00902638"/>
    <w:rsid w:val="009031A9"/>
    <w:rsid w:val="00904548"/>
    <w:rsid w:val="00905F47"/>
    <w:rsid w:val="00906414"/>
    <w:rsid w:val="00907206"/>
    <w:rsid w:val="00907B9D"/>
    <w:rsid w:val="00926F61"/>
    <w:rsid w:val="00927F5F"/>
    <w:rsid w:val="0093134C"/>
    <w:rsid w:val="00932245"/>
    <w:rsid w:val="009338BE"/>
    <w:rsid w:val="00933EC3"/>
    <w:rsid w:val="00935FF2"/>
    <w:rsid w:val="00937C39"/>
    <w:rsid w:val="0094333F"/>
    <w:rsid w:val="0094648F"/>
    <w:rsid w:val="00954A76"/>
    <w:rsid w:val="00964EEF"/>
    <w:rsid w:val="00975A16"/>
    <w:rsid w:val="00980CD0"/>
    <w:rsid w:val="00981431"/>
    <w:rsid w:val="00982B94"/>
    <w:rsid w:val="009854C2"/>
    <w:rsid w:val="0099214D"/>
    <w:rsid w:val="00997047"/>
    <w:rsid w:val="009A34CC"/>
    <w:rsid w:val="009A4D42"/>
    <w:rsid w:val="009A66C9"/>
    <w:rsid w:val="009B10BE"/>
    <w:rsid w:val="009B6668"/>
    <w:rsid w:val="009B7687"/>
    <w:rsid w:val="009C0B5A"/>
    <w:rsid w:val="009C460A"/>
    <w:rsid w:val="009C4DEB"/>
    <w:rsid w:val="009C7A20"/>
    <w:rsid w:val="009D17A8"/>
    <w:rsid w:val="009D2DC1"/>
    <w:rsid w:val="009D37CC"/>
    <w:rsid w:val="009D4A47"/>
    <w:rsid w:val="009D5A00"/>
    <w:rsid w:val="009D6A59"/>
    <w:rsid w:val="009E1FD7"/>
    <w:rsid w:val="009E741D"/>
    <w:rsid w:val="009E7B06"/>
    <w:rsid w:val="009F0CEF"/>
    <w:rsid w:val="009F14D1"/>
    <w:rsid w:val="009F48EE"/>
    <w:rsid w:val="009F4E36"/>
    <w:rsid w:val="009F6B18"/>
    <w:rsid w:val="009F6C94"/>
    <w:rsid w:val="009F7617"/>
    <w:rsid w:val="00A00552"/>
    <w:rsid w:val="00A0333F"/>
    <w:rsid w:val="00A061A7"/>
    <w:rsid w:val="00A0778D"/>
    <w:rsid w:val="00A07C5A"/>
    <w:rsid w:val="00A12F79"/>
    <w:rsid w:val="00A13E20"/>
    <w:rsid w:val="00A142D9"/>
    <w:rsid w:val="00A143D7"/>
    <w:rsid w:val="00A160E9"/>
    <w:rsid w:val="00A1753E"/>
    <w:rsid w:val="00A179EE"/>
    <w:rsid w:val="00A211F7"/>
    <w:rsid w:val="00A22534"/>
    <w:rsid w:val="00A23E54"/>
    <w:rsid w:val="00A248CA"/>
    <w:rsid w:val="00A40DFC"/>
    <w:rsid w:val="00A42178"/>
    <w:rsid w:val="00A46917"/>
    <w:rsid w:val="00A46C23"/>
    <w:rsid w:val="00A50335"/>
    <w:rsid w:val="00A50606"/>
    <w:rsid w:val="00A51F20"/>
    <w:rsid w:val="00A525A1"/>
    <w:rsid w:val="00A52F3F"/>
    <w:rsid w:val="00A600B0"/>
    <w:rsid w:val="00A63F0F"/>
    <w:rsid w:val="00A6477A"/>
    <w:rsid w:val="00A64A54"/>
    <w:rsid w:val="00A6756F"/>
    <w:rsid w:val="00A67EFB"/>
    <w:rsid w:val="00A7078B"/>
    <w:rsid w:val="00A71665"/>
    <w:rsid w:val="00A73C2E"/>
    <w:rsid w:val="00A76FA8"/>
    <w:rsid w:val="00A771F2"/>
    <w:rsid w:val="00A7735F"/>
    <w:rsid w:val="00A83B30"/>
    <w:rsid w:val="00A86882"/>
    <w:rsid w:val="00A86E9F"/>
    <w:rsid w:val="00A90D23"/>
    <w:rsid w:val="00A91308"/>
    <w:rsid w:val="00A929E9"/>
    <w:rsid w:val="00A939BC"/>
    <w:rsid w:val="00AA0108"/>
    <w:rsid w:val="00AA02BD"/>
    <w:rsid w:val="00AA0FC5"/>
    <w:rsid w:val="00AA39EC"/>
    <w:rsid w:val="00AA5980"/>
    <w:rsid w:val="00AA6F55"/>
    <w:rsid w:val="00AB0079"/>
    <w:rsid w:val="00AB1944"/>
    <w:rsid w:val="00AB40A3"/>
    <w:rsid w:val="00AB6B65"/>
    <w:rsid w:val="00AC2265"/>
    <w:rsid w:val="00AC2861"/>
    <w:rsid w:val="00AC7E1B"/>
    <w:rsid w:val="00AD2C33"/>
    <w:rsid w:val="00AD752A"/>
    <w:rsid w:val="00AE2414"/>
    <w:rsid w:val="00AE26F2"/>
    <w:rsid w:val="00AE54EC"/>
    <w:rsid w:val="00AE62B8"/>
    <w:rsid w:val="00AE669F"/>
    <w:rsid w:val="00AE6808"/>
    <w:rsid w:val="00AE73F1"/>
    <w:rsid w:val="00AF0127"/>
    <w:rsid w:val="00AF13DC"/>
    <w:rsid w:val="00AF5504"/>
    <w:rsid w:val="00AF5DE4"/>
    <w:rsid w:val="00AF6571"/>
    <w:rsid w:val="00AF6982"/>
    <w:rsid w:val="00AF7728"/>
    <w:rsid w:val="00B146F5"/>
    <w:rsid w:val="00B22ED0"/>
    <w:rsid w:val="00B23D75"/>
    <w:rsid w:val="00B243B2"/>
    <w:rsid w:val="00B24598"/>
    <w:rsid w:val="00B338CE"/>
    <w:rsid w:val="00B35529"/>
    <w:rsid w:val="00B3681A"/>
    <w:rsid w:val="00B37615"/>
    <w:rsid w:val="00B37CC0"/>
    <w:rsid w:val="00B427AC"/>
    <w:rsid w:val="00B444D6"/>
    <w:rsid w:val="00B44A23"/>
    <w:rsid w:val="00B45AEA"/>
    <w:rsid w:val="00B5221A"/>
    <w:rsid w:val="00B52DDF"/>
    <w:rsid w:val="00B544B1"/>
    <w:rsid w:val="00B57E41"/>
    <w:rsid w:val="00B6048D"/>
    <w:rsid w:val="00B60A4F"/>
    <w:rsid w:val="00B61DC5"/>
    <w:rsid w:val="00B6362F"/>
    <w:rsid w:val="00B6497B"/>
    <w:rsid w:val="00B66179"/>
    <w:rsid w:val="00B725BD"/>
    <w:rsid w:val="00B77E77"/>
    <w:rsid w:val="00B8032F"/>
    <w:rsid w:val="00B807C7"/>
    <w:rsid w:val="00B8710B"/>
    <w:rsid w:val="00B90F4D"/>
    <w:rsid w:val="00B95926"/>
    <w:rsid w:val="00B95B42"/>
    <w:rsid w:val="00BA08C9"/>
    <w:rsid w:val="00BA47EA"/>
    <w:rsid w:val="00BB0144"/>
    <w:rsid w:val="00BB28EC"/>
    <w:rsid w:val="00BC2F65"/>
    <w:rsid w:val="00BC4879"/>
    <w:rsid w:val="00BC6545"/>
    <w:rsid w:val="00BC74B0"/>
    <w:rsid w:val="00BD035F"/>
    <w:rsid w:val="00BD2168"/>
    <w:rsid w:val="00BD47B0"/>
    <w:rsid w:val="00BD7148"/>
    <w:rsid w:val="00BE2222"/>
    <w:rsid w:val="00BE37A1"/>
    <w:rsid w:val="00BE65CB"/>
    <w:rsid w:val="00BE7D4E"/>
    <w:rsid w:val="00BE7FB9"/>
    <w:rsid w:val="00BF02F3"/>
    <w:rsid w:val="00BF052B"/>
    <w:rsid w:val="00BF0C87"/>
    <w:rsid w:val="00BF3725"/>
    <w:rsid w:val="00BF5057"/>
    <w:rsid w:val="00BF50C9"/>
    <w:rsid w:val="00BF5EA9"/>
    <w:rsid w:val="00BF6162"/>
    <w:rsid w:val="00BF69B7"/>
    <w:rsid w:val="00BF7548"/>
    <w:rsid w:val="00BF776B"/>
    <w:rsid w:val="00C01DDD"/>
    <w:rsid w:val="00C06529"/>
    <w:rsid w:val="00C0684A"/>
    <w:rsid w:val="00C103AC"/>
    <w:rsid w:val="00C11C76"/>
    <w:rsid w:val="00C21249"/>
    <w:rsid w:val="00C21CA7"/>
    <w:rsid w:val="00C26016"/>
    <w:rsid w:val="00C26439"/>
    <w:rsid w:val="00C27849"/>
    <w:rsid w:val="00C35444"/>
    <w:rsid w:val="00C36E2B"/>
    <w:rsid w:val="00C42FAF"/>
    <w:rsid w:val="00C461E5"/>
    <w:rsid w:val="00C46670"/>
    <w:rsid w:val="00C50AF9"/>
    <w:rsid w:val="00C5117C"/>
    <w:rsid w:val="00C551CC"/>
    <w:rsid w:val="00C62DE9"/>
    <w:rsid w:val="00C631AB"/>
    <w:rsid w:val="00C66635"/>
    <w:rsid w:val="00C67FAB"/>
    <w:rsid w:val="00C72DC9"/>
    <w:rsid w:val="00C72E13"/>
    <w:rsid w:val="00C75110"/>
    <w:rsid w:val="00C760AE"/>
    <w:rsid w:val="00C76F4B"/>
    <w:rsid w:val="00C812F7"/>
    <w:rsid w:val="00C8664C"/>
    <w:rsid w:val="00C86A10"/>
    <w:rsid w:val="00C90049"/>
    <w:rsid w:val="00C904A5"/>
    <w:rsid w:val="00C9111A"/>
    <w:rsid w:val="00C92F41"/>
    <w:rsid w:val="00C955EF"/>
    <w:rsid w:val="00C95F47"/>
    <w:rsid w:val="00C96FC0"/>
    <w:rsid w:val="00CA04AD"/>
    <w:rsid w:val="00CA084F"/>
    <w:rsid w:val="00CA54C3"/>
    <w:rsid w:val="00CB4988"/>
    <w:rsid w:val="00CC1891"/>
    <w:rsid w:val="00CC1BAF"/>
    <w:rsid w:val="00CC6F35"/>
    <w:rsid w:val="00CD05CD"/>
    <w:rsid w:val="00CD2B54"/>
    <w:rsid w:val="00CD392F"/>
    <w:rsid w:val="00CD3D07"/>
    <w:rsid w:val="00CD462F"/>
    <w:rsid w:val="00CD5335"/>
    <w:rsid w:val="00CD5AF9"/>
    <w:rsid w:val="00CD60A6"/>
    <w:rsid w:val="00CD6E45"/>
    <w:rsid w:val="00CD795B"/>
    <w:rsid w:val="00CD7DFC"/>
    <w:rsid w:val="00CE1FFD"/>
    <w:rsid w:val="00CE5606"/>
    <w:rsid w:val="00CE62E3"/>
    <w:rsid w:val="00CF1406"/>
    <w:rsid w:val="00CF340C"/>
    <w:rsid w:val="00CF34C6"/>
    <w:rsid w:val="00CF57B1"/>
    <w:rsid w:val="00CF63A2"/>
    <w:rsid w:val="00D00F9E"/>
    <w:rsid w:val="00D02AD8"/>
    <w:rsid w:val="00D05142"/>
    <w:rsid w:val="00D05EF7"/>
    <w:rsid w:val="00D10748"/>
    <w:rsid w:val="00D117FD"/>
    <w:rsid w:val="00D13B72"/>
    <w:rsid w:val="00D14C43"/>
    <w:rsid w:val="00D14E87"/>
    <w:rsid w:val="00D1686C"/>
    <w:rsid w:val="00D17A93"/>
    <w:rsid w:val="00D22672"/>
    <w:rsid w:val="00D22F0A"/>
    <w:rsid w:val="00D2535A"/>
    <w:rsid w:val="00D25DCA"/>
    <w:rsid w:val="00D26FBA"/>
    <w:rsid w:val="00D3010B"/>
    <w:rsid w:val="00D30C97"/>
    <w:rsid w:val="00D3214F"/>
    <w:rsid w:val="00D364BF"/>
    <w:rsid w:val="00D377DF"/>
    <w:rsid w:val="00D40A04"/>
    <w:rsid w:val="00D429A4"/>
    <w:rsid w:val="00D46D35"/>
    <w:rsid w:val="00D52E97"/>
    <w:rsid w:val="00D569CC"/>
    <w:rsid w:val="00D62E01"/>
    <w:rsid w:val="00D70368"/>
    <w:rsid w:val="00D7047E"/>
    <w:rsid w:val="00D718C4"/>
    <w:rsid w:val="00D74920"/>
    <w:rsid w:val="00D7574E"/>
    <w:rsid w:val="00D7595C"/>
    <w:rsid w:val="00D77D77"/>
    <w:rsid w:val="00D8282A"/>
    <w:rsid w:val="00D84BCC"/>
    <w:rsid w:val="00D85D38"/>
    <w:rsid w:val="00DA1DCC"/>
    <w:rsid w:val="00DA2F9C"/>
    <w:rsid w:val="00DA714A"/>
    <w:rsid w:val="00DA7DAA"/>
    <w:rsid w:val="00DB2383"/>
    <w:rsid w:val="00DB2467"/>
    <w:rsid w:val="00DB3C61"/>
    <w:rsid w:val="00DB4CC6"/>
    <w:rsid w:val="00DB7477"/>
    <w:rsid w:val="00DC274C"/>
    <w:rsid w:val="00DC2C74"/>
    <w:rsid w:val="00DC2FAA"/>
    <w:rsid w:val="00DC58E3"/>
    <w:rsid w:val="00DC73FD"/>
    <w:rsid w:val="00DD54C1"/>
    <w:rsid w:val="00DD62E7"/>
    <w:rsid w:val="00DD6374"/>
    <w:rsid w:val="00DE14C0"/>
    <w:rsid w:val="00DE2E0D"/>
    <w:rsid w:val="00DE64C0"/>
    <w:rsid w:val="00DF0510"/>
    <w:rsid w:val="00DF211C"/>
    <w:rsid w:val="00DF25FE"/>
    <w:rsid w:val="00DF315D"/>
    <w:rsid w:val="00DF6429"/>
    <w:rsid w:val="00E15D69"/>
    <w:rsid w:val="00E1670E"/>
    <w:rsid w:val="00E20558"/>
    <w:rsid w:val="00E20F03"/>
    <w:rsid w:val="00E214B6"/>
    <w:rsid w:val="00E2262F"/>
    <w:rsid w:val="00E25C43"/>
    <w:rsid w:val="00E25C76"/>
    <w:rsid w:val="00E27AFD"/>
    <w:rsid w:val="00E27EBB"/>
    <w:rsid w:val="00E30DF8"/>
    <w:rsid w:val="00E3276F"/>
    <w:rsid w:val="00E41BBE"/>
    <w:rsid w:val="00E42ED6"/>
    <w:rsid w:val="00E434ED"/>
    <w:rsid w:val="00E4688F"/>
    <w:rsid w:val="00E52291"/>
    <w:rsid w:val="00E53717"/>
    <w:rsid w:val="00E54AA4"/>
    <w:rsid w:val="00E54CFE"/>
    <w:rsid w:val="00E57384"/>
    <w:rsid w:val="00E6293F"/>
    <w:rsid w:val="00E62BE2"/>
    <w:rsid w:val="00E62D2B"/>
    <w:rsid w:val="00E642B5"/>
    <w:rsid w:val="00E66C52"/>
    <w:rsid w:val="00E66E31"/>
    <w:rsid w:val="00E725FE"/>
    <w:rsid w:val="00E74E73"/>
    <w:rsid w:val="00E750E5"/>
    <w:rsid w:val="00E81221"/>
    <w:rsid w:val="00E816DD"/>
    <w:rsid w:val="00E82B96"/>
    <w:rsid w:val="00E8323C"/>
    <w:rsid w:val="00E85ED8"/>
    <w:rsid w:val="00E87CD5"/>
    <w:rsid w:val="00E90BDF"/>
    <w:rsid w:val="00E914ED"/>
    <w:rsid w:val="00E93251"/>
    <w:rsid w:val="00E9476E"/>
    <w:rsid w:val="00E95E57"/>
    <w:rsid w:val="00E96F45"/>
    <w:rsid w:val="00EA014D"/>
    <w:rsid w:val="00EA1369"/>
    <w:rsid w:val="00EA180E"/>
    <w:rsid w:val="00EA6AA5"/>
    <w:rsid w:val="00EB2409"/>
    <w:rsid w:val="00EB58E1"/>
    <w:rsid w:val="00EB7619"/>
    <w:rsid w:val="00EC1D73"/>
    <w:rsid w:val="00EC30B3"/>
    <w:rsid w:val="00EC4878"/>
    <w:rsid w:val="00EC58E6"/>
    <w:rsid w:val="00EC5B2E"/>
    <w:rsid w:val="00EC7F18"/>
    <w:rsid w:val="00ED2555"/>
    <w:rsid w:val="00ED39D0"/>
    <w:rsid w:val="00ED6BA3"/>
    <w:rsid w:val="00ED7949"/>
    <w:rsid w:val="00EE0AFD"/>
    <w:rsid w:val="00EE1A43"/>
    <w:rsid w:val="00EE235F"/>
    <w:rsid w:val="00EE467B"/>
    <w:rsid w:val="00EE50B8"/>
    <w:rsid w:val="00EE6C37"/>
    <w:rsid w:val="00EF0F4A"/>
    <w:rsid w:val="00EF13AB"/>
    <w:rsid w:val="00F05947"/>
    <w:rsid w:val="00F1217E"/>
    <w:rsid w:val="00F13A59"/>
    <w:rsid w:val="00F13F45"/>
    <w:rsid w:val="00F17B25"/>
    <w:rsid w:val="00F219B8"/>
    <w:rsid w:val="00F2402E"/>
    <w:rsid w:val="00F2428C"/>
    <w:rsid w:val="00F246B4"/>
    <w:rsid w:val="00F25707"/>
    <w:rsid w:val="00F30553"/>
    <w:rsid w:val="00F30D49"/>
    <w:rsid w:val="00F33EA3"/>
    <w:rsid w:val="00F42D4A"/>
    <w:rsid w:val="00F50EC1"/>
    <w:rsid w:val="00F51044"/>
    <w:rsid w:val="00F52464"/>
    <w:rsid w:val="00F547DD"/>
    <w:rsid w:val="00F64FD1"/>
    <w:rsid w:val="00F709E9"/>
    <w:rsid w:val="00F716A6"/>
    <w:rsid w:val="00F72088"/>
    <w:rsid w:val="00F7553F"/>
    <w:rsid w:val="00F758E4"/>
    <w:rsid w:val="00F81363"/>
    <w:rsid w:val="00F81FEA"/>
    <w:rsid w:val="00F82328"/>
    <w:rsid w:val="00F8610B"/>
    <w:rsid w:val="00F866DF"/>
    <w:rsid w:val="00F96108"/>
    <w:rsid w:val="00F96402"/>
    <w:rsid w:val="00F969F3"/>
    <w:rsid w:val="00FA0569"/>
    <w:rsid w:val="00FA148E"/>
    <w:rsid w:val="00FA2CD7"/>
    <w:rsid w:val="00FA3319"/>
    <w:rsid w:val="00FA47AE"/>
    <w:rsid w:val="00FA6BF9"/>
    <w:rsid w:val="00FB0348"/>
    <w:rsid w:val="00FB21D2"/>
    <w:rsid w:val="00FB3F3A"/>
    <w:rsid w:val="00FC0690"/>
    <w:rsid w:val="00FC172B"/>
    <w:rsid w:val="00FC22FE"/>
    <w:rsid w:val="00FC28E3"/>
    <w:rsid w:val="00FC3A9A"/>
    <w:rsid w:val="00FC5B97"/>
    <w:rsid w:val="00FD06C9"/>
    <w:rsid w:val="00FD17A2"/>
    <w:rsid w:val="00FD1FC1"/>
    <w:rsid w:val="00FD6132"/>
    <w:rsid w:val="00FE07AE"/>
    <w:rsid w:val="00FE5EDF"/>
    <w:rsid w:val="00FE6F1C"/>
    <w:rsid w:val="00FF19C8"/>
    <w:rsid w:val="00FF2A50"/>
    <w:rsid w:val="00FF40DA"/>
    <w:rsid w:val="00FF5C09"/>
    <w:rsid w:val="00FF5F0A"/>
    <w:rsid w:val="00FF6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74DA7"/>
  <w15:chartTrackingRefBased/>
  <w15:docId w15:val="{E3A2CC31-1062-4C2E-9148-5082D07E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6F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C76F4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A79"/>
  </w:style>
  <w:style w:type="paragraph" w:styleId="Footer">
    <w:name w:val="footer"/>
    <w:basedOn w:val="Normal"/>
    <w:link w:val="FooterChar"/>
    <w:uiPriority w:val="99"/>
    <w:unhideWhenUsed/>
    <w:rsid w:val="005B4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A79"/>
  </w:style>
  <w:style w:type="paragraph" w:styleId="NormalWeb">
    <w:name w:val="Normal (Web)"/>
    <w:basedOn w:val="Normal"/>
    <w:uiPriority w:val="99"/>
    <w:unhideWhenUsed/>
    <w:rsid w:val="00854E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54E04"/>
    <w:pPr>
      <w:spacing w:after="0" w:line="240" w:lineRule="auto"/>
    </w:pPr>
  </w:style>
  <w:style w:type="paragraph" w:styleId="ListParagraph">
    <w:name w:val="List Paragraph"/>
    <w:basedOn w:val="Normal"/>
    <w:uiPriority w:val="34"/>
    <w:qFormat/>
    <w:rsid w:val="007950E7"/>
    <w:pPr>
      <w:spacing w:after="0" w:line="240" w:lineRule="auto"/>
      <w:ind w:left="720"/>
      <w:contextualSpacing/>
    </w:pPr>
    <w:rPr>
      <w:rFonts w:ascii="Verdana" w:eastAsia="Calibri" w:hAnsi="Verdana" w:cs="Times New Roman"/>
      <w:sz w:val="24"/>
    </w:rPr>
  </w:style>
  <w:style w:type="paragraph" w:customStyle="1" w:styleId="Heading5NoNumb">
    <w:name w:val="Heading 5NoNumb"/>
    <w:basedOn w:val="Heading5"/>
    <w:uiPriority w:val="20"/>
    <w:qFormat/>
    <w:rsid w:val="00C76F4B"/>
    <w:pPr>
      <w:keepNext w:val="0"/>
      <w:keepLines w:val="0"/>
      <w:tabs>
        <w:tab w:val="num" w:pos="680"/>
      </w:tabs>
      <w:spacing w:before="120" w:after="120" w:line="240" w:lineRule="auto"/>
      <w:ind w:left="680"/>
      <w:jc w:val="both"/>
    </w:pPr>
    <w:rPr>
      <w:rFonts w:ascii="Source Sans Pro" w:eastAsia="Yu Gothic UI" w:hAnsi="Source Sans Pro" w:cs="Times New Roman"/>
      <w:color w:val="auto"/>
      <w:szCs w:val="44"/>
    </w:rPr>
  </w:style>
  <w:style w:type="character" w:customStyle="1" w:styleId="Heading5Char">
    <w:name w:val="Heading 5 Char"/>
    <w:basedOn w:val="DefaultParagraphFont"/>
    <w:link w:val="Heading5"/>
    <w:uiPriority w:val="9"/>
    <w:semiHidden/>
    <w:rsid w:val="00C76F4B"/>
    <w:rPr>
      <w:rFonts w:asciiTheme="majorHAnsi" w:eastAsiaTheme="majorEastAsia" w:hAnsiTheme="majorHAnsi" w:cstheme="majorBidi"/>
      <w:color w:val="2F5496" w:themeColor="accent1" w:themeShade="BF"/>
    </w:rPr>
  </w:style>
  <w:style w:type="paragraph" w:customStyle="1" w:styleId="ExecSummPara">
    <w:name w:val="Exec Summ Para"/>
    <w:basedOn w:val="Normal"/>
    <w:uiPriority w:val="19"/>
    <w:semiHidden/>
    <w:rsid w:val="00C76F4B"/>
    <w:pPr>
      <w:numPr>
        <w:numId w:val="2"/>
      </w:numPr>
      <w:spacing w:after="240" w:line="240" w:lineRule="auto"/>
      <w:jc w:val="both"/>
    </w:pPr>
    <w:rPr>
      <w:rFonts w:ascii="Source Sans Pro" w:hAnsi="Source Sans Pro" w:cs="Times New Roman"/>
    </w:rPr>
  </w:style>
  <w:style w:type="paragraph" w:customStyle="1" w:styleId="ExecSumm1">
    <w:name w:val="Exec Summ 1"/>
    <w:basedOn w:val="Heading1"/>
    <w:next w:val="ExecSummPara"/>
    <w:uiPriority w:val="16"/>
    <w:rsid w:val="00C76F4B"/>
    <w:pPr>
      <w:keepLines w:val="0"/>
      <w:spacing w:before="360" w:after="240" w:line="240" w:lineRule="auto"/>
      <w:ind w:left="680"/>
    </w:pPr>
    <w:rPr>
      <w:rFonts w:ascii="Source Sans Pro" w:eastAsia="Yu Gothic UI" w:hAnsi="Source Sans Pro" w:cs="Times New Roman"/>
      <w:b/>
      <w:color w:val="44546A" w:themeColor="text2"/>
      <w:sz w:val="44"/>
      <w:szCs w:val="44"/>
    </w:rPr>
  </w:style>
  <w:style w:type="paragraph" w:customStyle="1" w:styleId="Execsummbullet">
    <w:name w:val="Exec summ bullet"/>
    <w:basedOn w:val="Normal"/>
    <w:uiPriority w:val="19"/>
    <w:semiHidden/>
    <w:rsid w:val="00C76F4B"/>
    <w:pPr>
      <w:numPr>
        <w:ilvl w:val="1"/>
        <w:numId w:val="2"/>
      </w:numPr>
      <w:spacing w:after="240" w:line="280" w:lineRule="atLeast"/>
      <w:jc w:val="both"/>
    </w:pPr>
    <w:rPr>
      <w:rFonts w:ascii="Source Sans Pro" w:hAnsi="Source Sans Pro" w:cs="Times New Roman"/>
    </w:rPr>
  </w:style>
  <w:style w:type="paragraph" w:customStyle="1" w:styleId="ExecSummTableTitle">
    <w:name w:val="Exec Summ Table Title"/>
    <w:basedOn w:val="Normal"/>
    <w:next w:val="ExecSummPara"/>
    <w:uiPriority w:val="19"/>
    <w:qFormat/>
    <w:rsid w:val="00C76F4B"/>
    <w:pPr>
      <w:numPr>
        <w:ilvl w:val="2"/>
        <w:numId w:val="2"/>
      </w:numPr>
      <w:pBdr>
        <w:top w:val="single" w:sz="4" w:space="1" w:color="394A58"/>
      </w:pBdr>
      <w:shd w:val="clear" w:color="auto" w:fill="C9CED3"/>
      <w:spacing w:before="360" w:after="0" w:line="240" w:lineRule="auto"/>
      <w:ind w:right="28"/>
    </w:pPr>
    <w:rPr>
      <w:rFonts w:ascii="Source Sans Pro" w:hAnsi="Source Sans Pro" w:cs="Times New Roman"/>
    </w:rPr>
  </w:style>
  <w:style w:type="numbering" w:customStyle="1" w:styleId="NumbLstNumb">
    <w:name w:val="NumbLstNumb"/>
    <w:uiPriority w:val="99"/>
    <w:rsid w:val="00C76F4B"/>
    <w:pPr>
      <w:numPr>
        <w:numId w:val="2"/>
      </w:numPr>
    </w:pPr>
  </w:style>
  <w:style w:type="character" w:customStyle="1" w:styleId="Heading1Char">
    <w:name w:val="Heading 1 Char"/>
    <w:basedOn w:val="DefaultParagraphFont"/>
    <w:link w:val="Heading1"/>
    <w:uiPriority w:val="9"/>
    <w:rsid w:val="00C76F4B"/>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D61D1"/>
    <w:pPr>
      <w:spacing w:after="0" w:line="240" w:lineRule="auto"/>
    </w:pPr>
  </w:style>
  <w:style w:type="character" w:styleId="CommentReference">
    <w:name w:val="annotation reference"/>
    <w:basedOn w:val="DefaultParagraphFont"/>
    <w:uiPriority w:val="99"/>
    <w:semiHidden/>
    <w:unhideWhenUsed/>
    <w:rsid w:val="007D61D1"/>
    <w:rPr>
      <w:sz w:val="16"/>
      <w:szCs w:val="16"/>
    </w:rPr>
  </w:style>
  <w:style w:type="paragraph" w:styleId="CommentText">
    <w:name w:val="annotation text"/>
    <w:basedOn w:val="Normal"/>
    <w:link w:val="CommentTextChar"/>
    <w:uiPriority w:val="99"/>
    <w:unhideWhenUsed/>
    <w:rsid w:val="007D61D1"/>
    <w:pPr>
      <w:spacing w:line="240" w:lineRule="auto"/>
    </w:pPr>
    <w:rPr>
      <w:sz w:val="20"/>
      <w:szCs w:val="20"/>
    </w:rPr>
  </w:style>
  <w:style w:type="character" w:customStyle="1" w:styleId="CommentTextChar">
    <w:name w:val="Comment Text Char"/>
    <w:basedOn w:val="DefaultParagraphFont"/>
    <w:link w:val="CommentText"/>
    <w:uiPriority w:val="99"/>
    <w:rsid w:val="007D61D1"/>
    <w:rPr>
      <w:sz w:val="20"/>
      <w:szCs w:val="20"/>
    </w:rPr>
  </w:style>
  <w:style w:type="paragraph" w:styleId="CommentSubject">
    <w:name w:val="annotation subject"/>
    <w:basedOn w:val="CommentText"/>
    <w:next w:val="CommentText"/>
    <w:link w:val="CommentSubjectChar"/>
    <w:uiPriority w:val="99"/>
    <w:semiHidden/>
    <w:unhideWhenUsed/>
    <w:rsid w:val="007D61D1"/>
    <w:rPr>
      <w:b/>
      <w:bCs/>
    </w:rPr>
  </w:style>
  <w:style w:type="character" w:customStyle="1" w:styleId="CommentSubjectChar">
    <w:name w:val="Comment Subject Char"/>
    <w:basedOn w:val="CommentTextChar"/>
    <w:link w:val="CommentSubject"/>
    <w:uiPriority w:val="99"/>
    <w:semiHidden/>
    <w:rsid w:val="007D61D1"/>
    <w:rPr>
      <w:b/>
      <w:bCs/>
      <w:sz w:val="20"/>
      <w:szCs w:val="20"/>
    </w:rPr>
  </w:style>
  <w:style w:type="table" w:styleId="TableGrid">
    <w:name w:val="Table Grid"/>
    <w:basedOn w:val="TableNormal"/>
    <w:uiPriority w:val="39"/>
    <w:rsid w:val="006B5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3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3311">
      <w:bodyDiv w:val="1"/>
      <w:marLeft w:val="0"/>
      <w:marRight w:val="0"/>
      <w:marTop w:val="0"/>
      <w:marBottom w:val="0"/>
      <w:divBdr>
        <w:top w:val="none" w:sz="0" w:space="0" w:color="auto"/>
        <w:left w:val="none" w:sz="0" w:space="0" w:color="auto"/>
        <w:bottom w:val="none" w:sz="0" w:space="0" w:color="auto"/>
        <w:right w:val="none" w:sz="0" w:space="0" w:color="auto"/>
      </w:divBdr>
    </w:div>
    <w:div w:id="160850695">
      <w:bodyDiv w:val="1"/>
      <w:marLeft w:val="0"/>
      <w:marRight w:val="0"/>
      <w:marTop w:val="0"/>
      <w:marBottom w:val="0"/>
      <w:divBdr>
        <w:top w:val="none" w:sz="0" w:space="0" w:color="auto"/>
        <w:left w:val="none" w:sz="0" w:space="0" w:color="auto"/>
        <w:bottom w:val="none" w:sz="0" w:space="0" w:color="auto"/>
        <w:right w:val="none" w:sz="0" w:space="0" w:color="auto"/>
      </w:divBdr>
    </w:div>
    <w:div w:id="365909882">
      <w:bodyDiv w:val="1"/>
      <w:marLeft w:val="0"/>
      <w:marRight w:val="0"/>
      <w:marTop w:val="0"/>
      <w:marBottom w:val="0"/>
      <w:divBdr>
        <w:top w:val="none" w:sz="0" w:space="0" w:color="auto"/>
        <w:left w:val="none" w:sz="0" w:space="0" w:color="auto"/>
        <w:bottom w:val="none" w:sz="0" w:space="0" w:color="auto"/>
        <w:right w:val="none" w:sz="0" w:space="0" w:color="auto"/>
      </w:divBdr>
    </w:div>
    <w:div w:id="398288612">
      <w:bodyDiv w:val="1"/>
      <w:marLeft w:val="0"/>
      <w:marRight w:val="0"/>
      <w:marTop w:val="0"/>
      <w:marBottom w:val="0"/>
      <w:divBdr>
        <w:top w:val="none" w:sz="0" w:space="0" w:color="auto"/>
        <w:left w:val="none" w:sz="0" w:space="0" w:color="auto"/>
        <w:bottom w:val="none" w:sz="0" w:space="0" w:color="auto"/>
        <w:right w:val="none" w:sz="0" w:space="0" w:color="auto"/>
      </w:divBdr>
    </w:div>
    <w:div w:id="576593700">
      <w:bodyDiv w:val="1"/>
      <w:marLeft w:val="0"/>
      <w:marRight w:val="0"/>
      <w:marTop w:val="0"/>
      <w:marBottom w:val="0"/>
      <w:divBdr>
        <w:top w:val="none" w:sz="0" w:space="0" w:color="auto"/>
        <w:left w:val="none" w:sz="0" w:space="0" w:color="auto"/>
        <w:bottom w:val="none" w:sz="0" w:space="0" w:color="auto"/>
        <w:right w:val="none" w:sz="0" w:space="0" w:color="auto"/>
      </w:divBdr>
    </w:div>
    <w:div w:id="653723862">
      <w:bodyDiv w:val="1"/>
      <w:marLeft w:val="0"/>
      <w:marRight w:val="0"/>
      <w:marTop w:val="0"/>
      <w:marBottom w:val="0"/>
      <w:divBdr>
        <w:top w:val="none" w:sz="0" w:space="0" w:color="auto"/>
        <w:left w:val="none" w:sz="0" w:space="0" w:color="auto"/>
        <w:bottom w:val="none" w:sz="0" w:space="0" w:color="auto"/>
        <w:right w:val="none" w:sz="0" w:space="0" w:color="auto"/>
      </w:divBdr>
    </w:div>
    <w:div w:id="782765818">
      <w:bodyDiv w:val="1"/>
      <w:marLeft w:val="0"/>
      <w:marRight w:val="0"/>
      <w:marTop w:val="0"/>
      <w:marBottom w:val="0"/>
      <w:divBdr>
        <w:top w:val="none" w:sz="0" w:space="0" w:color="auto"/>
        <w:left w:val="none" w:sz="0" w:space="0" w:color="auto"/>
        <w:bottom w:val="none" w:sz="0" w:space="0" w:color="auto"/>
        <w:right w:val="none" w:sz="0" w:space="0" w:color="auto"/>
      </w:divBdr>
    </w:div>
    <w:div w:id="813182403">
      <w:bodyDiv w:val="1"/>
      <w:marLeft w:val="0"/>
      <w:marRight w:val="0"/>
      <w:marTop w:val="0"/>
      <w:marBottom w:val="0"/>
      <w:divBdr>
        <w:top w:val="none" w:sz="0" w:space="0" w:color="auto"/>
        <w:left w:val="none" w:sz="0" w:space="0" w:color="auto"/>
        <w:bottom w:val="none" w:sz="0" w:space="0" w:color="auto"/>
        <w:right w:val="none" w:sz="0" w:space="0" w:color="auto"/>
      </w:divBdr>
    </w:div>
    <w:div w:id="1036465717">
      <w:bodyDiv w:val="1"/>
      <w:marLeft w:val="0"/>
      <w:marRight w:val="0"/>
      <w:marTop w:val="0"/>
      <w:marBottom w:val="0"/>
      <w:divBdr>
        <w:top w:val="none" w:sz="0" w:space="0" w:color="auto"/>
        <w:left w:val="none" w:sz="0" w:space="0" w:color="auto"/>
        <w:bottom w:val="none" w:sz="0" w:space="0" w:color="auto"/>
        <w:right w:val="none" w:sz="0" w:space="0" w:color="auto"/>
      </w:divBdr>
    </w:div>
    <w:div w:id="1185558310">
      <w:bodyDiv w:val="1"/>
      <w:marLeft w:val="0"/>
      <w:marRight w:val="0"/>
      <w:marTop w:val="0"/>
      <w:marBottom w:val="0"/>
      <w:divBdr>
        <w:top w:val="none" w:sz="0" w:space="0" w:color="auto"/>
        <w:left w:val="none" w:sz="0" w:space="0" w:color="auto"/>
        <w:bottom w:val="none" w:sz="0" w:space="0" w:color="auto"/>
        <w:right w:val="none" w:sz="0" w:space="0" w:color="auto"/>
      </w:divBdr>
    </w:div>
    <w:div w:id="1285502483">
      <w:bodyDiv w:val="1"/>
      <w:marLeft w:val="0"/>
      <w:marRight w:val="0"/>
      <w:marTop w:val="0"/>
      <w:marBottom w:val="0"/>
      <w:divBdr>
        <w:top w:val="none" w:sz="0" w:space="0" w:color="auto"/>
        <w:left w:val="none" w:sz="0" w:space="0" w:color="auto"/>
        <w:bottom w:val="none" w:sz="0" w:space="0" w:color="auto"/>
        <w:right w:val="none" w:sz="0" w:space="0" w:color="auto"/>
      </w:divBdr>
    </w:div>
    <w:div w:id="1350452553">
      <w:bodyDiv w:val="1"/>
      <w:marLeft w:val="0"/>
      <w:marRight w:val="0"/>
      <w:marTop w:val="0"/>
      <w:marBottom w:val="0"/>
      <w:divBdr>
        <w:top w:val="none" w:sz="0" w:space="0" w:color="auto"/>
        <w:left w:val="none" w:sz="0" w:space="0" w:color="auto"/>
        <w:bottom w:val="none" w:sz="0" w:space="0" w:color="auto"/>
        <w:right w:val="none" w:sz="0" w:space="0" w:color="auto"/>
      </w:divBdr>
    </w:div>
    <w:div w:id="1545606253">
      <w:bodyDiv w:val="1"/>
      <w:marLeft w:val="0"/>
      <w:marRight w:val="0"/>
      <w:marTop w:val="0"/>
      <w:marBottom w:val="0"/>
      <w:divBdr>
        <w:top w:val="none" w:sz="0" w:space="0" w:color="auto"/>
        <w:left w:val="none" w:sz="0" w:space="0" w:color="auto"/>
        <w:bottom w:val="none" w:sz="0" w:space="0" w:color="auto"/>
        <w:right w:val="none" w:sz="0" w:space="0" w:color="auto"/>
      </w:divBdr>
    </w:div>
    <w:div w:id="1814827755">
      <w:bodyDiv w:val="1"/>
      <w:marLeft w:val="0"/>
      <w:marRight w:val="0"/>
      <w:marTop w:val="0"/>
      <w:marBottom w:val="0"/>
      <w:divBdr>
        <w:top w:val="none" w:sz="0" w:space="0" w:color="auto"/>
        <w:left w:val="none" w:sz="0" w:space="0" w:color="auto"/>
        <w:bottom w:val="none" w:sz="0" w:space="0" w:color="auto"/>
        <w:right w:val="none" w:sz="0" w:space="0" w:color="auto"/>
      </w:divBdr>
      <w:divsChild>
        <w:div w:id="2016758208">
          <w:marLeft w:val="360"/>
          <w:marRight w:val="0"/>
          <w:marTop w:val="0"/>
          <w:marBottom w:val="0"/>
          <w:divBdr>
            <w:top w:val="none" w:sz="0" w:space="0" w:color="auto"/>
            <w:left w:val="none" w:sz="0" w:space="0" w:color="auto"/>
            <w:bottom w:val="none" w:sz="0" w:space="0" w:color="auto"/>
            <w:right w:val="none" w:sz="0" w:space="0" w:color="auto"/>
          </w:divBdr>
        </w:div>
      </w:divsChild>
    </w:div>
    <w:div w:id="209801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1025</Words>
  <Characters>5843</Characters>
  <Application>Microsoft Office Word</Application>
  <DocSecurity>0</DocSecurity>
  <Lines>48</Lines>
  <Paragraphs>13</Paragraphs>
  <ScaleCrop>false</ScaleCrop>
  <Company>Staffordshire County Council</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Shufflebotham, Matthew (E,I&amp;S)</dc:creator>
  <cp:lastModifiedBy>Shufflebotham, Matthew (E,I&amp;S)</cp:lastModifiedBy>
  <cp:revision>17</cp:revision>
  <dcterms:created xsi:type="dcterms:W3CDTF">2024-02-19T15:39:00Z</dcterms:created>
  <dcterms:modified xsi:type="dcterms:W3CDTF">2024-03-04T10:48:00Z</dcterms:modified>
</cp:coreProperties>
</file>