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B787" w14:textId="672B73E0" w:rsidR="00093A18" w:rsidRPr="00686CD6" w:rsidRDefault="00BE7D4E" w:rsidP="002B07B2">
      <w:pPr>
        <w:spacing w:after="0" w:line="276" w:lineRule="auto"/>
        <w:jc w:val="right"/>
        <w:rPr>
          <w:rFonts w:cstheme="minorHAnsi"/>
          <w:b/>
          <w:bCs/>
          <w:sz w:val="24"/>
          <w:szCs w:val="24"/>
        </w:rPr>
      </w:pPr>
      <w:r w:rsidRPr="00686CD6">
        <w:rPr>
          <w:rFonts w:cstheme="minorHAnsi"/>
          <w:b/>
          <w:bCs/>
          <w:sz w:val="24"/>
          <w:szCs w:val="24"/>
        </w:rPr>
        <w:t xml:space="preserve">Agenda Item </w:t>
      </w:r>
      <w:r w:rsidR="001C34A0">
        <w:rPr>
          <w:rFonts w:cstheme="minorHAnsi"/>
          <w:b/>
          <w:bCs/>
          <w:sz w:val="24"/>
          <w:szCs w:val="24"/>
        </w:rPr>
        <w:t>6</w:t>
      </w:r>
    </w:p>
    <w:p w14:paraId="338C3A0E" w14:textId="77777777" w:rsidR="00093A18" w:rsidRPr="00686CD6" w:rsidRDefault="00093A18" w:rsidP="002B07B2">
      <w:pPr>
        <w:spacing w:after="0" w:line="276" w:lineRule="auto"/>
        <w:jc w:val="center"/>
        <w:rPr>
          <w:rFonts w:cstheme="minorHAnsi"/>
          <w:b/>
          <w:bCs/>
          <w:sz w:val="24"/>
          <w:szCs w:val="24"/>
        </w:rPr>
      </w:pPr>
    </w:p>
    <w:p w14:paraId="522A2BA0" w14:textId="62AC6346" w:rsidR="00167BEC" w:rsidRDefault="00431855" w:rsidP="002B07B2">
      <w:pPr>
        <w:spacing w:after="0" w:line="276" w:lineRule="auto"/>
        <w:jc w:val="center"/>
        <w:rPr>
          <w:rFonts w:cstheme="minorHAnsi"/>
          <w:b/>
          <w:bCs/>
          <w:sz w:val="36"/>
          <w:szCs w:val="36"/>
        </w:rPr>
      </w:pPr>
      <w:r>
        <w:rPr>
          <w:rFonts w:cstheme="minorHAnsi"/>
          <w:b/>
          <w:bCs/>
          <w:sz w:val="36"/>
          <w:szCs w:val="36"/>
        </w:rPr>
        <w:t>SS</w:t>
      </w:r>
      <w:r w:rsidR="00BE2222" w:rsidRPr="00926F61">
        <w:rPr>
          <w:rFonts w:cstheme="minorHAnsi"/>
          <w:b/>
          <w:bCs/>
          <w:sz w:val="36"/>
          <w:szCs w:val="36"/>
        </w:rPr>
        <w:t>LEP</w:t>
      </w:r>
      <w:r>
        <w:rPr>
          <w:rFonts w:cstheme="minorHAnsi"/>
          <w:b/>
          <w:bCs/>
          <w:sz w:val="36"/>
          <w:szCs w:val="36"/>
        </w:rPr>
        <w:t xml:space="preserve"> </w:t>
      </w:r>
      <w:r w:rsidR="004815CA">
        <w:rPr>
          <w:rFonts w:cstheme="minorHAnsi"/>
          <w:b/>
          <w:bCs/>
          <w:sz w:val="36"/>
          <w:szCs w:val="36"/>
        </w:rPr>
        <w:t>Closure Process</w:t>
      </w:r>
      <w:r w:rsidR="00D26744">
        <w:rPr>
          <w:rFonts w:cstheme="minorHAnsi"/>
          <w:b/>
          <w:bCs/>
          <w:sz w:val="36"/>
          <w:szCs w:val="36"/>
        </w:rPr>
        <w:t xml:space="preserve"> and </w:t>
      </w:r>
      <w:r w:rsidR="003169FA">
        <w:rPr>
          <w:rFonts w:cstheme="minorHAnsi"/>
          <w:b/>
          <w:bCs/>
          <w:sz w:val="36"/>
          <w:szCs w:val="36"/>
        </w:rPr>
        <w:t>Future Voice</w:t>
      </w:r>
      <w:r w:rsidR="00D6639B">
        <w:rPr>
          <w:rFonts w:cstheme="minorHAnsi"/>
          <w:b/>
          <w:bCs/>
          <w:sz w:val="36"/>
          <w:szCs w:val="36"/>
        </w:rPr>
        <w:t xml:space="preserve"> of Business</w:t>
      </w:r>
    </w:p>
    <w:p w14:paraId="4EF59264" w14:textId="13D54102" w:rsidR="00093A18" w:rsidRPr="00686CD6" w:rsidRDefault="00093A18" w:rsidP="002B07B2">
      <w:pPr>
        <w:spacing w:after="0" w:line="276" w:lineRule="auto"/>
        <w:jc w:val="center"/>
        <w:rPr>
          <w:rFonts w:cstheme="minorHAnsi"/>
          <w:b/>
          <w:bCs/>
          <w:color w:val="000000" w:themeColor="text1"/>
          <w:sz w:val="24"/>
          <w:szCs w:val="24"/>
        </w:rPr>
      </w:pPr>
    </w:p>
    <w:p w14:paraId="50093DBB" w14:textId="47A6F8C8" w:rsidR="00093A18" w:rsidRPr="00686CD6" w:rsidRDefault="00997047" w:rsidP="002B07B2">
      <w:pPr>
        <w:spacing w:after="0" w:line="276" w:lineRule="auto"/>
        <w:jc w:val="center"/>
        <w:rPr>
          <w:rFonts w:cstheme="minorHAnsi"/>
          <w:b/>
          <w:bCs/>
          <w:color w:val="000000" w:themeColor="text1"/>
          <w:sz w:val="24"/>
          <w:szCs w:val="24"/>
        </w:rPr>
      </w:pPr>
      <w:r w:rsidRPr="00686CD6">
        <w:rPr>
          <w:noProof/>
          <w:sz w:val="24"/>
          <w:szCs w:val="24"/>
        </w:rPr>
        <mc:AlternateContent>
          <mc:Choice Requires="wps">
            <w:drawing>
              <wp:anchor distT="0" distB="0" distL="114300" distR="114300" simplePos="0" relativeHeight="251658240" behindDoc="0" locked="0" layoutInCell="1" allowOverlap="1" wp14:anchorId="216FCA7C" wp14:editId="0B8326A3">
                <wp:simplePos x="0" y="0"/>
                <wp:positionH relativeFrom="margin">
                  <wp:align>right</wp:align>
                </wp:positionH>
                <wp:positionV relativeFrom="paragraph">
                  <wp:posOffset>99695</wp:posOffset>
                </wp:positionV>
                <wp:extent cx="5524500" cy="5924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524500" cy="5924550"/>
                        </a:xfrm>
                        <a:prstGeom prst="rect">
                          <a:avLst/>
                        </a:prstGeom>
                        <a:solidFill>
                          <a:schemeClr val="accent4">
                            <a:lumMod val="60000"/>
                            <a:lumOff val="40000"/>
                            <a:alpha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BAC7D3" w14:textId="77777777" w:rsidR="00CD392F" w:rsidRPr="00CD392F" w:rsidRDefault="00CD392F" w:rsidP="00093A18">
                            <w:pPr>
                              <w:rPr>
                                <w:rFonts w:cstheme="minorHAnsi"/>
                                <w:b/>
                                <w:color w:val="000000" w:themeColor="text1"/>
                                <w:sz w:val="12"/>
                                <w:szCs w:val="12"/>
                              </w:rPr>
                            </w:pPr>
                          </w:p>
                          <w:p w14:paraId="58B7AC52" w14:textId="416E04CB" w:rsidR="00093A18" w:rsidRPr="009A4D42" w:rsidRDefault="00093A18" w:rsidP="00093A18">
                            <w:pPr>
                              <w:rPr>
                                <w:rFonts w:cstheme="minorHAnsi"/>
                                <w:b/>
                                <w:color w:val="000000" w:themeColor="text1"/>
                                <w:sz w:val="28"/>
                                <w:szCs w:val="28"/>
                              </w:rPr>
                            </w:pPr>
                            <w:r w:rsidRPr="009A4D42">
                              <w:rPr>
                                <w:rFonts w:cstheme="minorHAnsi"/>
                                <w:b/>
                                <w:color w:val="000000" w:themeColor="text1"/>
                                <w:sz w:val="28"/>
                                <w:szCs w:val="28"/>
                              </w:rPr>
                              <w:t xml:space="preserve">SSLEP Executive Board is asked to consider, comment and vote on the following </w:t>
                            </w:r>
                            <w:r w:rsidR="00BF052B" w:rsidRPr="009A4D42">
                              <w:rPr>
                                <w:rFonts w:cstheme="minorHAnsi"/>
                                <w:b/>
                                <w:color w:val="000000" w:themeColor="text1"/>
                                <w:sz w:val="28"/>
                                <w:szCs w:val="28"/>
                              </w:rPr>
                              <w:t>recommendations</w:t>
                            </w:r>
                            <w:r w:rsidRPr="009A4D42">
                              <w:rPr>
                                <w:rFonts w:cstheme="minorHAnsi"/>
                                <w:b/>
                                <w:color w:val="000000" w:themeColor="text1"/>
                                <w:sz w:val="28"/>
                                <w:szCs w:val="28"/>
                              </w:rPr>
                              <w:t>:</w:t>
                            </w:r>
                          </w:p>
                          <w:p w14:paraId="48ACC673" w14:textId="3E9F90A9" w:rsidR="00EF0F4A" w:rsidRDefault="001C1A51" w:rsidP="00691608">
                            <w:pPr>
                              <w:pStyle w:val="NoSpacing"/>
                              <w:numPr>
                                <w:ilvl w:val="0"/>
                                <w:numId w:val="22"/>
                              </w:numPr>
                              <w:jc w:val="both"/>
                              <w:rPr>
                                <w:rFonts w:cstheme="minorHAnsi"/>
                                <w:color w:val="000000" w:themeColor="text1"/>
                                <w:sz w:val="28"/>
                                <w:szCs w:val="28"/>
                              </w:rPr>
                            </w:pPr>
                            <w:r>
                              <w:rPr>
                                <w:rFonts w:cstheme="minorHAnsi"/>
                                <w:color w:val="000000" w:themeColor="text1"/>
                                <w:sz w:val="28"/>
                                <w:szCs w:val="28"/>
                              </w:rPr>
                              <w:t xml:space="preserve">The Board notes </w:t>
                            </w:r>
                            <w:r w:rsidR="005A238A">
                              <w:rPr>
                                <w:rFonts w:cstheme="minorHAnsi"/>
                                <w:color w:val="000000" w:themeColor="text1"/>
                                <w:sz w:val="28"/>
                                <w:szCs w:val="28"/>
                              </w:rPr>
                              <w:t xml:space="preserve">the legal advice </w:t>
                            </w:r>
                            <w:r w:rsidR="005235EE">
                              <w:rPr>
                                <w:rFonts w:cstheme="minorHAnsi"/>
                                <w:color w:val="000000" w:themeColor="text1"/>
                                <w:sz w:val="28"/>
                                <w:szCs w:val="28"/>
                              </w:rPr>
                              <w:t xml:space="preserve">on the closure of the SSLEP </w:t>
                            </w:r>
                            <w:r w:rsidR="00202C14">
                              <w:rPr>
                                <w:rFonts w:cstheme="minorHAnsi"/>
                                <w:color w:val="000000" w:themeColor="text1"/>
                                <w:sz w:val="28"/>
                                <w:szCs w:val="28"/>
                              </w:rPr>
                              <w:t>commissioned from Bevan Brittan.</w:t>
                            </w:r>
                          </w:p>
                          <w:p w14:paraId="50046D48" w14:textId="45151CCD" w:rsidR="000A676B" w:rsidRDefault="000A676B"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Agree that the issue of </w:t>
                            </w:r>
                            <w:r w:rsidRPr="007431F0">
                              <w:rPr>
                                <w:rFonts w:cstheme="minorHAnsi"/>
                                <w:color w:val="000000" w:themeColor="text1"/>
                                <w:sz w:val="28"/>
                                <w:szCs w:val="28"/>
                              </w:rPr>
                              <w:t>Director</w:t>
                            </w:r>
                            <w:r>
                              <w:rPr>
                                <w:rFonts w:cstheme="minorHAnsi"/>
                                <w:color w:val="000000" w:themeColor="text1"/>
                                <w:sz w:val="28"/>
                                <w:szCs w:val="28"/>
                              </w:rPr>
                              <w:t>s</w:t>
                            </w:r>
                            <w:r w:rsidRPr="007431F0">
                              <w:rPr>
                                <w:rFonts w:cstheme="minorHAnsi"/>
                                <w:color w:val="000000" w:themeColor="text1"/>
                                <w:sz w:val="28"/>
                                <w:szCs w:val="28"/>
                              </w:rPr>
                              <w:t xml:space="preserve"> liabilit</w:t>
                            </w:r>
                            <w:r w:rsidR="00CE5606">
                              <w:rPr>
                                <w:rFonts w:cstheme="minorHAnsi"/>
                                <w:color w:val="000000" w:themeColor="text1"/>
                                <w:sz w:val="28"/>
                                <w:szCs w:val="28"/>
                              </w:rPr>
                              <w:t>ies</w:t>
                            </w:r>
                            <w:r w:rsidRPr="007431F0">
                              <w:rPr>
                                <w:rFonts w:cstheme="minorHAnsi"/>
                                <w:color w:val="000000" w:themeColor="text1"/>
                                <w:sz w:val="28"/>
                                <w:szCs w:val="28"/>
                              </w:rPr>
                              <w:t xml:space="preserve"> be addressed through the closure of the </w:t>
                            </w:r>
                            <w:r w:rsidR="00CE5606">
                              <w:rPr>
                                <w:rFonts w:cstheme="minorHAnsi"/>
                                <w:color w:val="000000" w:themeColor="text1"/>
                                <w:sz w:val="28"/>
                                <w:szCs w:val="28"/>
                              </w:rPr>
                              <w:t>c</w:t>
                            </w:r>
                            <w:r w:rsidRPr="007431F0">
                              <w:rPr>
                                <w:rFonts w:cstheme="minorHAnsi"/>
                                <w:color w:val="000000" w:themeColor="text1"/>
                                <w:sz w:val="28"/>
                                <w:szCs w:val="28"/>
                              </w:rPr>
                              <w:t>ompany.</w:t>
                            </w:r>
                          </w:p>
                          <w:p w14:paraId="4211B1E3" w14:textId="33678F3C" w:rsidR="007431F0" w:rsidRDefault="00BF7548"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Agree that the company </w:t>
                            </w:r>
                            <w:r w:rsidR="007431F0" w:rsidRPr="007431F0">
                              <w:rPr>
                                <w:rFonts w:cstheme="minorHAnsi"/>
                                <w:color w:val="000000" w:themeColor="text1"/>
                                <w:sz w:val="28"/>
                                <w:szCs w:val="28"/>
                              </w:rPr>
                              <w:t xml:space="preserve">be </w:t>
                            </w:r>
                            <w:r w:rsidR="009C4DEB">
                              <w:rPr>
                                <w:rFonts w:cstheme="minorHAnsi"/>
                                <w:color w:val="000000" w:themeColor="text1"/>
                                <w:sz w:val="28"/>
                                <w:szCs w:val="28"/>
                              </w:rPr>
                              <w:t>closed</w:t>
                            </w:r>
                            <w:r w:rsidR="007431F0" w:rsidRPr="007431F0">
                              <w:rPr>
                                <w:rFonts w:cstheme="minorHAnsi"/>
                                <w:color w:val="000000" w:themeColor="text1"/>
                                <w:sz w:val="28"/>
                                <w:szCs w:val="28"/>
                              </w:rPr>
                              <w:t xml:space="preserve"> </w:t>
                            </w:r>
                            <w:r w:rsidR="00450567">
                              <w:rPr>
                                <w:rFonts w:cstheme="minorHAnsi"/>
                                <w:color w:val="000000" w:themeColor="text1"/>
                                <w:sz w:val="28"/>
                                <w:szCs w:val="28"/>
                              </w:rPr>
                              <w:t>followin</w:t>
                            </w:r>
                            <w:r w:rsidR="007431F0" w:rsidRPr="007431F0">
                              <w:rPr>
                                <w:rFonts w:cstheme="minorHAnsi"/>
                                <w:color w:val="000000" w:themeColor="text1"/>
                                <w:sz w:val="28"/>
                                <w:szCs w:val="28"/>
                              </w:rPr>
                              <w:t>g the voluntary dissolution process</w:t>
                            </w:r>
                            <w:r w:rsidR="00834979">
                              <w:rPr>
                                <w:rFonts w:cstheme="minorHAnsi"/>
                                <w:color w:val="000000" w:themeColor="text1"/>
                                <w:sz w:val="28"/>
                                <w:szCs w:val="28"/>
                              </w:rPr>
                              <w:t xml:space="preserve"> and </w:t>
                            </w:r>
                            <w:r w:rsidR="00613067">
                              <w:rPr>
                                <w:rFonts w:cstheme="minorHAnsi"/>
                                <w:color w:val="000000" w:themeColor="text1"/>
                                <w:sz w:val="28"/>
                                <w:szCs w:val="28"/>
                              </w:rPr>
                              <w:t xml:space="preserve">Directors </w:t>
                            </w:r>
                            <w:r w:rsidR="00AF0CE9">
                              <w:rPr>
                                <w:rFonts w:cstheme="minorHAnsi"/>
                                <w:color w:val="000000" w:themeColor="text1"/>
                                <w:sz w:val="28"/>
                                <w:szCs w:val="28"/>
                              </w:rPr>
                              <w:t xml:space="preserve">each sign </w:t>
                            </w:r>
                            <w:r w:rsidR="00F913B8">
                              <w:rPr>
                                <w:rFonts w:cstheme="minorHAnsi"/>
                                <w:color w:val="000000" w:themeColor="text1"/>
                                <w:sz w:val="28"/>
                                <w:szCs w:val="28"/>
                              </w:rPr>
                              <w:t>the appended</w:t>
                            </w:r>
                            <w:r w:rsidR="000A3A98">
                              <w:rPr>
                                <w:rFonts w:cstheme="minorHAnsi"/>
                                <w:color w:val="000000" w:themeColor="text1"/>
                                <w:sz w:val="28"/>
                                <w:szCs w:val="28"/>
                              </w:rPr>
                              <w:t xml:space="preserve"> striking off application </w:t>
                            </w:r>
                            <w:r w:rsidR="00B54ECA">
                              <w:rPr>
                                <w:rFonts w:cstheme="minorHAnsi"/>
                                <w:color w:val="000000" w:themeColor="text1"/>
                                <w:sz w:val="28"/>
                                <w:szCs w:val="28"/>
                              </w:rPr>
                              <w:t xml:space="preserve">(DS01 form) </w:t>
                            </w:r>
                            <w:r w:rsidR="000A3A98">
                              <w:rPr>
                                <w:rFonts w:cstheme="minorHAnsi"/>
                                <w:color w:val="000000" w:themeColor="text1"/>
                                <w:sz w:val="28"/>
                                <w:szCs w:val="28"/>
                              </w:rPr>
                              <w:t>to formally resign from the company</w:t>
                            </w:r>
                            <w:r w:rsidR="00450567">
                              <w:rPr>
                                <w:rFonts w:cstheme="minorHAnsi"/>
                                <w:color w:val="000000" w:themeColor="text1"/>
                                <w:sz w:val="28"/>
                                <w:szCs w:val="28"/>
                              </w:rPr>
                              <w:t>.</w:t>
                            </w:r>
                          </w:p>
                          <w:p w14:paraId="2A0ADDCD" w14:textId="6212BE30" w:rsidR="00252EAD" w:rsidRDefault="00252EAD"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Note</w:t>
                            </w:r>
                            <w:r w:rsidR="00630978">
                              <w:rPr>
                                <w:rFonts w:cstheme="minorHAnsi"/>
                                <w:color w:val="000000" w:themeColor="text1"/>
                                <w:sz w:val="28"/>
                                <w:szCs w:val="28"/>
                              </w:rPr>
                              <w:t xml:space="preserve"> the</w:t>
                            </w:r>
                            <w:r>
                              <w:rPr>
                                <w:rFonts w:cstheme="minorHAnsi"/>
                                <w:color w:val="000000" w:themeColor="text1"/>
                                <w:sz w:val="28"/>
                                <w:szCs w:val="28"/>
                              </w:rPr>
                              <w:t xml:space="preserve"> Government’s position </w:t>
                            </w:r>
                            <w:r w:rsidR="00AA6F55">
                              <w:rPr>
                                <w:rFonts w:cstheme="minorHAnsi"/>
                                <w:color w:val="000000" w:themeColor="text1"/>
                                <w:sz w:val="28"/>
                                <w:szCs w:val="28"/>
                              </w:rPr>
                              <w:t xml:space="preserve">that existing governance arrangements for decision making by the LEP </w:t>
                            </w:r>
                            <w:r w:rsidR="00272B33">
                              <w:rPr>
                                <w:rFonts w:cstheme="minorHAnsi"/>
                                <w:color w:val="000000" w:themeColor="text1"/>
                                <w:sz w:val="28"/>
                                <w:szCs w:val="28"/>
                              </w:rPr>
                              <w:t>are to be followed,</w:t>
                            </w:r>
                            <w:r w:rsidR="009031A9">
                              <w:rPr>
                                <w:rFonts w:cstheme="minorHAnsi"/>
                                <w:color w:val="000000" w:themeColor="text1"/>
                                <w:sz w:val="28"/>
                                <w:szCs w:val="28"/>
                              </w:rPr>
                              <w:t xml:space="preserve"> although civil service advice suggests taking a pragmatic approach.</w:t>
                            </w:r>
                          </w:p>
                          <w:p w14:paraId="40C596FA" w14:textId="6105FA26" w:rsidR="00E85ED8" w:rsidRPr="007431F0" w:rsidRDefault="00E20558"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Agree that residual </w:t>
                            </w:r>
                            <w:r w:rsidR="004612E4">
                              <w:rPr>
                                <w:rFonts w:cstheme="minorHAnsi"/>
                                <w:color w:val="000000" w:themeColor="text1"/>
                                <w:sz w:val="28"/>
                                <w:szCs w:val="28"/>
                              </w:rPr>
                              <w:t xml:space="preserve">SSLEP </w:t>
                            </w:r>
                            <w:r>
                              <w:rPr>
                                <w:rFonts w:cstheme="minorHAnsi"/>
                                <w:color w:val="000000" w:themeColor="text1"/>
                                <w:sz w:val="28"/>
                                <w:szCs w:val="28"/>
                              </w:rPr>
                              <w:t xml:space="preserve">activity be managed through the </w:t>
                            </w:r>
                            <w:r w:rsidR="004612E4">
                              <w:rPr>
                                <w:rFonts w:cstheme="minorHAnsi"/>
                                <w:color w:val="000000" w:themeColor="text1"/>
                                <w:sz w:val="28"/>
                                <w:szCs w:val="28"/>
                              </w:rPr>
                              <w:t>joint committee</w:t>
                            </w:r>
                            <w:r w:rsidR="00E9476E">
                              <w:rPr>
                                <w:rFonts w:cstheme="minorHAnsi"/>
                                <w:color w:val="000000" w:themeColor="text1"/>
                                <w:sz w:val="28"/>
                                <w:szCs w:val="28"/>
                              </w:rPr>
                              <w:t xml:space="preserve">, including consultation with the SSLEP Chairman </w:t>
                            </w:r>
                            <w:r w:rsidR="00B8710B">
                              <w:rPr>
                                <w:rFonts w:cstheme="minorHAnsi"/>
                                <w:color w:val="000000" w:themeColor="text1"/>
                                <w:sz w:val="28"/>
                                <w:szCs w:val="28"/>
                              </w:rPr>
                              <w:t>up to the formal closure of the company.</w:t>
                            </w:r>
                          </w:p>
                          <w:p w14:paraId="3295C516" w14:textId="25BDF37D" w:rsidR="00093A18" w:rsidRDefault="00D3258D" w:rsidP="00560770">
                            <w:pPr>
                              <w:pStyle w:val="NoSpacing"/>
                              <w:numPr>
                                <w:ilvl w:val="0"/>
                                <w:numId w:val="22"/>
                              </w:numPr>
                              <w:spacing w:before="120"/>
                              <w:jc w:val="both"/>
                              <w:rPr>
                                <w:rFonts w:cstheme="minorHAnsi"/>
                                <w:color w:val="000000" w:themeColor="text1"/>
                                <w:sz w:val="28"/>
                                <w:szCs w:val="28"/>
                              </w:rPr>
                            </w:pPr>
                            <w:r w:rsidRPr="00CB2BFB">
                              <w:rPr>
                                <w:rFonts w:cstheme="minorHAnsi"/>
                                <w:color w:val="000000" w:themeColor="text1"/>
                                <w:sz w:val="28"/>
                                <w:szCs w:val="28"/>
                              </w:rPr>
                              <w:t xml:space="preserve">Application to close </w:t>
                            </w:r>
                            <w:r w:rsidR="003608B1" w:rsidRPr="00CB2BFB">
                              <w:rPr>
                                <w:rFonts w:cstheme="minorHAnsi"/>
                                <w:color w:val="000000" w:themeColor="text1"/>
                                <w:sz w:val="28"/>
                                <w:szCs w:val="28"/>
                              </w:rPr>
                              <w:t>the company is made o</w:t>
                            </w:r>
                            <w:r w:rsidR="00034807" w:rsidRPr="00CB2BFB">
                              <w:rPr>
                                <w:rFonts w:cstheme="minorHAnsi"/>
                                <w:color w:val="000000" w:themeColor="text1"/>
                                <w:sz w:val="28"/>
                                <w:szCs w:val="28"/>
                              </w:rPr>
                              <w:t>n</w:t>
                            </w:r>
                            <w:r w:rsidR="003608B1" w:rsidRPr="00CB2BFB">
                              <w:rPr>
                                <w:rFonts w:cstheme="minorHAnsi"/>
                                <w:color w:val="000000" w:themeColor="text1"/>
                                <w:sz w:val="28"/>
                                <w:szCs w:val="28"/>
                              </w:rPr>
                              <w:t xml:space="preserve"> the </w:t>
                            </w:r>
                            <w:proofErr w:type="gramStart"/>
                            <w:r w:rsidR="00574BF5">
                              <w:rPr>
                                <w:rFonts w:cstheme="minorHAnsi"/>
                                <w:color w:val="000000" w:themeColor="text1"/>
                                <w:sz w:val="28"/>
                                <w:szCs w:val="28"/>
                              </w:rPr>
                              <w:t>30</w:t>
                            </w:r>
                            <w:r w:rsidR="00574BF5" w:rsidRPr="00574BF5">
                              <w:rPr>
                                <w:rFonts w:cstheme="minorHAnsi"/>
                                <w:color w:val="000000" w:themeColor="text1"/>
                                <w:sz w:val="28"/>
                                <w:szCs w:val="28"/>
                                <w:vertAlign w:val="superscript"/>
                              </w:rPr>
                              <w:t>th</w:t>
                            </w:r>
                            <w:proofErr w:type="gramEnd"/>
                            <w:r w:rsidR="00574BF5">
                              <w:rPr>
                                <w:rFonts w:cstheme="minorHAnsi"/>
                                <w:color w:val="000000" w:themeColor="text1"/>
                                <w:sz w:val="28"/>
                                <w:szCs w:val="28"/>
                              </w:rPr>
                              <w:t xml:space="preserve"> June 2024</w:t>
                            </w:r>
                            <w:r w:rsidR="009D6AC5">
                              <w:rPr>
                                <w:rFonts w:cstheme="minorHAnsi"/>
                                <w:color w:val="000000" w:themeColor="text1"/>
                                <w:sz w:val="28"/>
                                <w:szCs w:val="28"/>
                              </w:rPr>
                              <w:t>,</w:t>
                            </w:r>
                            <w:r w:rsidR="004E120A" w:rsidRPr="00CB2BFB">
                              <w:rPr>
                                <w:rFonts w:cstheme="minorHAnsi"/>
                                <w:color w:val="000000" w:themeColor="text1"/>
                                <w:sz w:val="28"/>
                                <w:szCs w:val="28"/>
                              </w:rPr>
                              <w:t xml:space="preserve"> </w:t>
                            </w:r>
                            <w:r w:rsidR="00574BF5">
                              <w:rPr>
                                <w:rFonts w:cstheme="minorHAnsi"/>
                                <w:color w:val="000000" w:themeColor="text1"/>
                                <w:sz w:val="28"/>
                                <w:szCs w:val="28"/>
                              </w:rPr>
                              <w:t xml:space="preserve">3 months after </w:t>
                            </w:r>
                            <w:r w:rsidR="002B539F" w:rsidRPr="00CB2BFB">
                              <w:rPr>
                                <w:rFonts w:cstheme="minorHAnsi"/>
                                <w:color w:val="000000" w:themeColor="text1"/>
                                <w:sz w:val="28"/>
                                <w:szCs w:val="28"/>
                              </w:rPr>
                              <w:t>the cessation of all SSLEP activity</w:t>
                            </w:r>
                            <w:r w:rsidR="004E120A" w:rsidRPr="00CB2BFB">
                              <w:rPr>
                                <w:rFonts w:cstheme="minorHAnsi"/>
                                <w:color w:val="000000" w:themeColor="text1"/>
                                <w:sz w:val="28"/>
                                <w:szCs w:val="28"/>
                              </w:rPr>
                              <w:t>.</w:t>
                            </w:r>
                          </w:p>
                          <w:p w14:paraId="096967FD" w14:textId="7CFF0EAC" w:rsidR="00560770" w:rsidRPr="00560770" w:rsidRDefault="00560770" w:rsidP="0056077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Consider and comment upon the </w:t>
                            </w:r>
                            <w:r w:rsidR="00B771AA">
                              <w:rPr>
                                <w:rFonts w:cstheme="minorHAnsi"/>
                                <w:color w:val="000000" w:themeColor="text1"/>
                                <w:sz w:val="28"/>
                                <w:szCs w:val="28"/>
                              </w:rPr>
                              <w:t xml:space="preserve">progress so far on the future business voice for the area, including </w:t>
                            </w:r>
                            <w:r w:rsidR="0037026F">
                              <w:rPr>
                                <w:rFonts w:cstheme="minorHAnsi"/>
                                <w:color w:val="000000" w:themeColor="text1"/>
                                <w:sz w:val="28"/>
                                <w:szCs w:val="28"/>
                              </w:rPr>
                              <w:t>its</w:t>
                            </w:r>
                            <w:r w:rsidR="00DA707F">
                              <w:rPr>
                                <w:rFonts w:cstheme="minorHAnsi"/>
                                <w:color w:val="000000" w:themeColor="text1"/>
                                <w:sz w:val="28"/>
                                <w:szCs w:val="28"/>
                              </w:rPr>
                              <w:t xml:space="preserve"> </w:t>
                            </w:r>
                            <w:r w:rsidR="0037026F">
                              <w:rPr>
                                <w:rFonts w:cstheme="minorHAnsi"/>
                                <w:color w:val="000000" w:themeColor="text1"/>
                                <w:sz w:val="28"/>
                                <w:szCs w:val="28"/>
                              </w:rPr>
                              <w:t xml:space="preserve">emerging </w:t>
                            </w:r>
                            <w:r w:rsidR="00DA707F">
                              <w:rPr>
                                <w:rFonts w:cstheme="minorHAnsi"/>
                                <w:color w:val="000000" w:themeColor="text1"/>
                                <w:sz w:val="28"/>
                                <w:szCs w:val="28"/>
                              </w:rPr>
                              <w:t>principles</w:t>
                            </w:r>
                            <w:r w:rsidR="0037026F">
                              <w:rPr>
                                <w:rFonts w:cstheme="minorHAnsi"/>
                                <w:color w:val="000000" w:themeColor="text1"/>
                                <w:sz w:val="28"/>
                                <w:szCs w:val="28"/>
                              </w:rPr>
                              <w:t xml:space="preserve"> and strategic priorities, as set out in the report and </w:t>
                            </w:r>
                            <w:r w:rsidR="0088408A">
                              <w:rPr>
                                <w:rFonts w:cstheme="minorHAnsi"/>
                                <w:color w:val="000000" w:themeColor="text1"/>
                                <w:sz w:val="28"/>
                                <w:szCs w:val="28"/>
                              </w:rPr>
                              <w:t>appendix.</w:t>
                            </w:r>
                          </w:p>
                          <w:p w14:paraId="36B6A0F4" w14:textId="77777777" w:rsidR="00093A18" w:rsidRDefault="00093A18" w:rsidP="00093A18">
                            <w:pPr>
                              <w:rPr>
                                <w:rFonts w:ascii="Verdana" w:hAnsi="Verdana" w:cs="Arial"/>
                                <w:b/>
                                <w:color w:val="000000" w:themeColor="text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6FCA7C" id="Rectangle 1" o:spid="_x0000_s1026" style="position:absolute;left:0;text-align:left;margin-left:383.8pt;margin-top:7.85pt;width:435pt;height:46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" fillcolor="#ffd966 [1943]" strokecolor="#1f3763 [1604]" strokeweight="1pt">
                <v:fill opacity="22873f"/>
                <v:textbox>
                  <w:txbxContent>
                    <w:p w14:paraId="34BAC7D3" w14:textId="77777777" w:rsidR="00CD392F" w:rsidRPr="00CD392F" w:rsidRDefault="00CD392F" w:rsidP="00093A18">
                      <w:pPr>
                        <w:rPr>
                          <w:rFonts w:cstheme="minorHAnsi"/>
                          <w:b/>
                          <w:color w:val="000000" w:themeColor="text1"/>
                          <w:sz w:val="12"/>
                          <w:szCs w:val="12"/>
                        </w:rPr>
                      </w:pPr>
                    </w:p>
                    <w:p w14:paraId="58B7AC52" w14:textId="416E04CB" w:rsidR="00093A18" w:rsidRPr="009A4D42" w:rsidRDefault="00093A18" w:rsidP="00093A18">
                      <w:pPr>
                        <w:rPr>
                          <w:rFonts w:cstheme="minorHAnsi"/>
                          <w:b/>
                          <w:color w:val="000000" w:themeColor="text1"/>
                          <w:sz w:val="28"/>
                          <w:szCs w:val="28"/>
                        </w:rPr>
                      </w:pPr>
                      <w:r w:rsidRPr="009A4D42">
                        <w:rPr>
                          <w:rFonts w:cstheme="minorHAnsi"/>
                          <w:b/>
                          <w:color w:val="000000" w:themeColor="text1"/>
                          <w:sz w:val="28"/>
                          <w:szCs w:val="28"/>
                        </w:rPr>
                        <w:t xml:space="preserve">SSLEP Executive Board is asked to consider, comment and vote on the following </w:t>
                      </w:r>
                      <w:r w:rsidR="00BF052B" w:rsidRPr="009A4D42">
                        <w:rPr>
                          <w:rFonts w:cstheme="minorHAnsi"/>
                          <w:b/>
                          <w:color w:val="000000" w:themeColor="text1"/>
                          <w:sz w:val="28"/>
                          <w:szCs w:val="28"/>
                        </w:rPr>
                        <w:t>recommendations</w:t>
                      </w:r>
                      <w:r w:rsidRPr="009A4D42">
                        <w:rPr>
                          <w:rFonts w:cstheme="minorHAnsi"/>
                          <w:b/>
                          <w:color w:val="000000" w:themeColor="text1"/>
                          <w:sz w:val="28"/>
                          <w:szCs w:val="28"/>
                        </w:rPr>
                        <w:t>:</w:t>
                      </w:r>
                    </w:p>
                    <w:p w14:paraId="48ACC673" w14:textId="3E9F90A9" w:rsidR="00EF0F4A" w:rsidRDefault="001C1A51" w:rsidP="00691608">
                      <w:pPr>
                        <w:pStyle w:val="NoSpacing"/>
                        <w:numPr>
                          <w:ilvl w:val="0"/>
                          <w:numId w:val="22"/>
                        </w:numPr>
                        <w:jc w:val="both"/>
                        <w:rPr>
                          <w:rFonts w:cstheme="minorHAnsi"/>
                          <w:color w:val="000000" w:themeColor="text1"/>
                          <w:sz w:val="28"/>
                          <w:szCs w:val="28"/>
                        </w:rPr>
                      </w:pPr>
                      <w:r>
                        <w:rPr>
                          <w:rFonts w:cstheme="minorHAnsi"/>
                          <w:color w:val="000000" w:themeColor="text1"/>
                          <w:sz w:val="28"/>
                          <w:szCs w:val="28"/>
                        </w:rPr>
                        <w:t xml:space="preserve">The Board notes </w:t>
                      </w:r>
                      <w:r w:rsidR="005A238A">
                        <w:rPr>
                          <w:rFonts w:cstheme="minorHAnsi"/>
                          <w:color w:val="000000" w:themeColor="text1"/>
                          <w:sz w:val="28"/>
                          <w:szCs w:val="28"/>
                        </w:rPr>
                        <w:t xml:space="preserve">the legal advice </w:t>
                      </w:r>
                      <w:r w:rsidR="005235EE">
                        <w:rPr>
                          <w:rFonts w:cstheme="minorHAnsi"/>
                          <w:color w:val="000000" w:themeColor="text1"/>
                          <w:sz w:val="28"/>
                          <w:szCs w:val="28"/>
                        </w:rPr>
                        <w:t xml:space="preserve">on the closure of the SSLEP </w:t>
                      </w:r>
                      <w:r w:rsidR="00202C14">
                        <w:rPr>
                          <w:rFonts w:cstheme="minorHAnsi"/>
                          <w:color w:val="000000" w:themeColor="text1"/>
                          <w:sz w:val="28"/>
                          <w:szCs w:val="28"/>
                        </w:rPr>
                        <w:t>commissioned from Bevan Brittan.</w:t>
                      </w:r>
                    </w:p>
                    <w:p w14:paraId="50046D48" w14:textId="45151CCD" w:rsidR="000A676B" w:rsidRDefault="000A676B"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Agree that the issue of </w:t>
                      </w:r>
                      <w:r w:rsidRPr="007431F0">
                        <w:rPr>
                          <w:rFonts w:cstheme="minorHAnsi"/>
                          <w:color w:val="000000" w:themeColor="text1"/>
                          <w:sz w:val="28"/>
                          <w:szCs w:val="28"/>
                        </w:rPr>
                        <w:t>Director</w:t>
                      </w:r>
                      <w:r>
                        <w:rPr>
                          <w:rFonts w:cstheme="minorHAnsi"/>
                          <w:color w:val="000000" w:themeColor="text1"/>
                          <w:sz w:val="28"/>
                          <w:szCs w:val="28"/>
                        </w:rPr>
                        <w:t>s</w:t>
                      </w:r>
                      <w:r w:rsidRPr="007431F0">
                        <w:rPr>
                          <w:rFonts w:cstheme="minorHAnsi"/>
                          <w:color w:val="000000" w:themeColor="text1"/>
                          <w:sz w:val="28"/>
                          <w:szCs w:val="28"/>
                        </w:rPr>
                        <w:t xml:space="preserve"> liabilit</w:t>
                      </w:r>
                      <w:r w:rsidR="00CE5606">
                        <w:rPr>
                          <w:rFonts w:cstheme="minorHAnsi"/>
                          <w:color w:val="000000" w:themeColor="text1"/>
                          <w:sz w:val="28"/>
                          <w:szCs w:val="28"/>
                        </w:rPr>
                        <w:t>ies</w:t>
                      </w:r>
                      <w:r w:rsidRPr="007431F0">
                        <w:rPr>
                          <w:rFonts w:cstheme="minorHAnsi"/>
                          <w:color w:val="000000" w:themeColor="text1"/>
                          <w:sz w:val="28"/>
                          <w:szCs w:val="28"/>
                        </w:rPr>
                        <w:t xml:space="preserve"> be addressed through the closure of the </w:t>
                      </w:r>
                      <w:r w:rsidR="00CE5606">
                        <w:rPr>
                          <w:rFonts w:cstheme="minorHAnsi"/>
                          <w:color w:val="000000" w:themeColor="text1"/>
                          <w:sz w:val="28"/>
                          <w:szCs w:val="28"/>
                        </w:rPr>
                        <w:t>c</w:t>
                      </w:r>
                      <w:r w:rsidRPr="007431F0">
                        <w:rPr>
                          <w:rFonts w:cstheme="minorHAnsi"/>
                          <w:color w:val="000000" w:themeColor="text1"/>
                          <w:sz w:val="28"/>
                          <w:szCs w:val="28"/>
                        </w:rPr>
                        <w:t>ompany.</w:t>
                      </w:r>
                    </w:p>
                    <w:p w14:paraId="4211B1E3" w14:textId="33678F3C" w:rsidR="007431F0" w:rsidRDefault="00BF7548"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Agree that the company </w:t>
                      </w:r>
                      <w:r w:rsidR="007431F0" w:rsidRPr="007431F0">
                        <w:rPr>
                          <w:rFonts w:cstheme="minorHAnsi"/>
                          <w:color w:val="000000" w:themeColor="text1"/>
                          <w:sz w:val="28"/>
                          <w:szCs w:val="28"/>
                        </w:rPr>
                        <w:t xml:space="preserve">be </w:t>
                      </w:r>
                      <w:r w:rsidR="009C4DEB">
                        <w:rPr>
                          <w:rFonts w:cstheme="minorHAnsi"/>
                          <w:color w:val="000000" w:themeColor="text1"/>
                          <w:sz w:val="28"/>
                          <w:szCs w:val="28"/>
                        </w:rPr>
                        <w:t>closed</w:t>
                      </w:r>
                      <w:r w:rsidR="007431F0" w:rsidRPr="007431F0">
                        <w:rPr>
                          <w:rFonts w:cstheme="minorHAnsi"/>
                          <w:color w:val="000000" w:themeColor="text1"/>
                          <w:sz w:val="28"/>
                          <w:szCs w:val="28"/>
                        </w:rPr>
                        <w:t xml:space="preserve"> </w:t>
                      </w:r>
                      <w:r w:rsidR="00450567">
                        <w:rPr>
                          <w:rFonts w:cstheme="minorHAnsi"/>
                          <w:color w:val="000000" w:themeColor="text1"/>
                          <w:sz w:val="28"/>
                          <w:szCs w:val="28"/>
                        </w:rPr>
                        <w:t>followin</w:t>
                      </w:r>
                      <w:r w:rsidR="007431F0" w:rsidRPr="007431F0">
                        <w:rPr>
                          <w:rFonts w:cstheme="minorHAnsi"/>
                          <w:color w:val="000000" w:themeColor="text1"/>
                          <w:sz w:val="28"/>
                          <w:szCs w:val="28"/>
                        </w:rPr>
                        <w:t>g the voluntary dissolution process</w:t>
                      </w:r>
                      <w:r w:rsidR="00834979">
                        <w:rPr>
                          <w:rFonts w:cstheme="minorHAnsi"/>
                          <w:color w:val="000000" w:themeColor="text1"/>
                          <w:sz w:val="28"/>
                          <w:szCs w:val="28"/>
                        </w:rPr>
                        <w:t xml:space="preserve"> and </w:t>
                      </w:r>
                      <w:r w:rsidR="00613067">
                        <w:rPr>
                          <w:rFonts w:cstheme="minorHAnsi"/>
                          <w:color w:val="000000" w:themeColor="text1"/>
                          <w:sz w:val="28"/>
                          <w:szCs w:val="28"/>
                        </w:rPr>
                        <w:t xml:space="preserve">Directors </w:t>
                      </w:r>
                      <w:r w:rsidR="00AF0CE9">
                        <w:rPr>
                          <w:rFonts w:cstheme="minorHAnsi"/>
                          <w:color w:val="000000" w:themeColor="text1"/>
                          <w:sz w:val="28"/>
                          <w:szCs w:val="28"/>
                        </w:rPr>
                        <w:t xml:space="preserve">each sign </w:t>
                      </w:r>
                      <w:r w:rsidR="00F913B8">
                        <w:rPr>
                          <w:rFonts w:cstheme="minorHAnsi"/>
                          <w:color w:val="000000" w:themeColor="text1"/>
                          <w:sz w:val="28"/>
                          <w:szCs w:val="28"/>
                        </w:rPr>
                        <w:t>the appended</w:t>
                      </w:r>
                      <w:r w:rsidR="000A3A98">
                        <w:rPr>
                          <w:rFonts w:cstheme="minorHAnsi"/>
                          <w:color w:val="000000" w:themeColor="text1"/>
                          <w:sz w:val="28"/>
                          <w:szCs w:val="28"/>
                        </w:rPr>
                        <w:t xml:space="preserve"> striking off application </w:t>
                      </w:r>
                      <w:r w:rsidR="00B54ECA">
                        <w:rPr>
                          <w:rFonts w:cstheme="minorHAnsi"/>
                          <w:color w:val="000000" w:themeColor="text1"/>
                          <w:sz w:val="28"/>
                          <w:szCs w:val="28"/>
                        </w:rPr>
                        <w:t xml:space="preserve">(DS01 form) </w:t>
                      </w:r>
                      <w:r w:rsidR="000A3A98">
                        <w:rPr>
                          <w:rFonts w:cstheme="minorHAnsi"/>
                          <w:color w:val="000000" w:themeColor="text1"/>
                          <w:sz w:val="28"/>
                          <w:szCs w:val="28"/>
                        </w:rPr>
                        <w:t>to formally resign from the company</w:t>
                      </w:r>
                      <w:r w:rsidR="00450567">
                        <w:rPr>
                          <w:rFonts w:cstheme="minorHAnsi"/>
                          <w:color w:val="000000" w:themeColor="text1"/>
                          <w:sz w:val="28"/>
                          <w:szCs w:val="28"/>
                        </w:rPr>
                        <w:t>.</w:t>
                      </w:r>
                    </w:p>
                    <w:p w14:paraId="2A0ADDCD" w14:textId="6212BE30" w:rsidR="00252EAD" w:rsidRDefault="00252EAD"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Note</w:t>
                      </w:r>
                      <w:r w:rsidR="00630978">
                        <w:rPr>
                          <w:rFonts w:cstheme="minorHAnsi"/>
                          <w:color w:val="000000" w:themeColor="text1"/>
                          <w:sz w:val="28"/>
                          <w:szCs w:val="28"/>
                        </w:rPr>
                        <w:t xml:space="preserve"> the</w:t>
                      </w:r>
                      <w:r>
                        <w:rPr>
                          <w:rFonts w:cstheme="minorHAnsi"/>
                          <w:color w:val="000000" w:themeColor="text1"/>
                          <w:sz w:val="28"/>
                          <w:szCs w:val="28"/>
                        </w:rPr>
                        <w:t xml:space="preserve"> Government’s position </w:t>
                      </w:r>
                      <w:r w:rsidR="00AA6F55">
                        <w:rPr>
                          <w:rFonts w:cstheme="minorHAnsi"/>
                          <w:color w:val="000000" w:themeColor="text1"/>
                          <w:sz w:val="28"/>
                          <w:szCs w:val="28"/>
                        </w:rPr>
                        <w:t xml:space="preserve">that existing governance arrangements for decision making by the LEP </w:t>
                      </w:r>
                      <w:r w:rsidR="00272B33">
                        <w:rPr>
                          <w:rFonts w:cstheme="minorHAnsi"/>
                          <w:color w:val="000000" w:themeColor="text1"/>
                          <w:sz w:val="28"/>
                          <w:szCs w:val="28"/>
                        </w:rPr>
                        <w:t>are to be followed,</w:t>
                      </w:r>
                      <w:r w:rsidR="009031A9">
                        <w:rPr>
                          <w:rFonts w:cstheme="minorHAnsi"/>
                          <w:color w:val="000000" w:themeColor="text1"/>
                          <w:sz w:val="28"/>
                          <w:szCs w:val="28"/>
                        </w:rPr>
                        <w:t xml:space="preserve"> although civil service advice suggests taking a pragmatic approach.</w:t>
                      </w:r>
                    </w:p>
                    <w:p w14:paraId="40C596FA" w14:textId="6105FA26" w:rsidR="00E85ED8" w:rsidRPr="007431F0" w:rsidRDefault="00E20558" w:rsidP="007431F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Agree that residual </w:t>
                      </w:r>
                      <w:r w:rsidR="004612E4">
                        <w:rPr>
                          <w:rFonts w:cstheme="minorHAnsi"/>
                          <w:color w:val="000000" w:themeColor="text1"/>
                          <w:sz w:val="28"/>
                          <w:szCs w:val="28"/>
                        </w:rPr>
                        <w:t xml:space="preserve">SSLEP </w:t>
                      </w:r>
                      <w:r>
                        <w:rPr>
                          <w:rFonts w:cstheme="minorHAnsi"/>
                          <w:color w:val="000000" w:themeColor="text1"/>
                          <w:sz w:val="28"/>
                          <w:szCs w:val="28"/>
                        </w:rPr>
                        <w:t xml:space="preserve">activity be managed through the </w:t>
                      </w:r>
                      <w:r w:rsidR="004612E4">
                        <w:rPr>
                          <w:rFonts w:cstheme="minorHAnsi"/>
                          <w:color w:val="000000" w:themeColor="text1"/>
                          <w:sz w:val="28"/>
                          <w:szCs w:val="28"/>
                        </w:rPr>
                        <w:t>joint committee</w:t>
                      </w:r>
                      <w:r w:rsidR="00E9476E">
                        <w:rPr>
                          <w:rFonts w:cstheme="minorHAnsi"/>
                          <w:color w:val="000000" w:themeColor="text1"/>
                          <w:sz w:val="28"/>
                          <w:szCs w:val="28"/>
                        </w:rPr>
                        <w:t xml:space="preserve">, including consultation with the SSLEP Chairman </w:t>
                      </w:r>
                      <w:r w:rsidR="00B8710B">
                        <w:rPr>
                          <w:rFonts w:cstheme="minorHAnsi"/>
                          <w:color w:val="000000" w:themeColor="text1"/>
                          <w:sz w:val="28"/>
                          <w:szCs w:val="28"/>
                        </w:rPr>
                        <w:t>up to the formal closure of the company.</w:t>
                      </w:r>
                    </w:p>
                    <w:p w14:paraId="3295C516" w14:textId="25BDF37D" w:rsidR="00093A18" w:rsidRDefault="00D3258D" w:rsidP="00560770">
                      <w:pPr>
                        <w:pStyle w:val="NoSpacing"/>
                        <w:numPr>
                          <w:ilvl w:val="0"/>
                          <w:numId w:val="22"/>
                        </w:numPr>
                        <w:spacing w:before="120"/>
                        <w:jc w:val="both"/>
                        <w:rPr>
                          <w:rFonts w:cstheme="minorHAnsi"/>
                          <w:color w:val="000000" w:themeColor="text1"/>
                          <w:sz w:val="28"/>
                          <w:szCs w:val="28"/>
                        </w:rPr>
                      </w:pPr>
                      <w:r w:rsidRPr="00CB2BFB">
                        <w:rPr>
                          <w:rFonts w:cstheme="minorHAnsi"/>
                          <w:color w:val="000000" w:themeColor="text1"/>
                          <w:sz w:val="28"/>
                          <w:szCs w:val="28"/>
                        </w:rPr>
                        <w:t xml:space="preserve">Application to close </w:t>
                      </w:r>
                      <w:r w:rsidR="003608B1" w:rsidRPr="00CB2BFB">
                        <w:rPr>
                          <w:rFonts w:cstheme="minorHAnsi"/>
                          <w:color w:val="000000" w:themeColor="text1"/>
                          <w:sz w:val="28"/>
                          <w:szCs w:val="28"/>
                        </w:rPr>
                        <w:t>the company is made o</w:t>
                      </w:r>
                      <w:r w:rsidR="00034807" w:rsidRPr="00CB2BFB">
                        <w:rPr>
                          <w:rFonts w:cstheme="minorHAnsi"/>
                          <w:color w:val="000000" w:themeColor="text1"/>
                          <w:sz w:val="28"/>
                          <w:szCs w:val="28"/>
                        </w:rPr>
                        <w:t>n</w:t>
                      </w:r>
                      <w:r w:rsidR="003608B1" w:rsidRPr="00CB2BFB">
                        <w:rPr>
                          <w:rFonts w:cstheme="minorHAnsi"/>
                          <w:color w:val="000000" w:themeColor="text1"/>
                          <w:sz w:val="28"/>
                          <w:szCs w:val="28"/>
                        </w:rPr>
                        <w:t xml:space="preserve"> the </w:t>
                      </w:r>
                      <w:proofErr w:type="gramStart"/>
                      <w:r w:rsidR="00574BF5">
                        <w:rPr>
                          <w:rFonts w:cstheme="minorHAnsi"/>
                          <w:color w:val="000000" w:themeColor="text1"/>
                          <w:sz w:val="28"/>
                          <w:szCs w:val="28"/>
                        </w:rPr>
                        <w:t>30</w:t>
                      </w:r>
                      <w:r w:rsidR="00574BF5" w:rsidRPr="00574BF5">
                        <w:rPr>
                          <w:rFonts w:cstheme="minorHAnsi"/>
                          <w:color w:val="000000" w:themeColor="text1"/>
                          <w:sz w:val="28"/>
                          <w:szCs w:val="28"/>
                          <w:vertAlign w:val="superscript"/>
                        </w:rPr>
                        <w:t>th</w:t>
                      </w:r>
                      <w:proofErr w:type="gramEnd"/>
                      <w:r w:rsidR="00574BF5">
                        <w:rPr>
                          <w:rFonts w:cstheme="minorHAnsi"/>
                          <w:color w:val="000000" w:themeColor="text1"/>
                          <w:sz w:val="28"/>
                          <w:szCs w:val="28"/>
                        </w:rPr>
                        <w:t xml:space="preserve"> June 2024</w:t>
                      </w:r>
                      <w:r w:rsidR="009D6AC5">
                        <w:rPr>
                          <w:rFonts w:cstheme="minorHAnsi"/>
                          <w:color w:val="000000" w:themeColor="text1"/>
                          <w:sz w:val="28"/>
                          <w:szCs w:val="28"/>
                        </w:rPr>
                        <w:t>,</w:t>
                      </w:r>
                      <w:r w:rsidR="004E120A" w:rsidRPr="00CB2BFB">
                        <w:rPr>
                          <w:rFonts w:cstheme="minorHAnsi"/>
                          <w:color w:val="000000" w:themeColor="text1"/>
                          <w:sz w:val="28"/>
                          <w:szCs w:val="28"/>
                        </w:rPr>
                        <w:t xml:space="preserve"> </w:t>
                      </w:r>
                      <w:r w:rsidR="00574BF5">
                        <w:rPr>
                          <w:rFonts w:cstheme="minorHAnsi"/>
                          <w:color w:val="000000" w:themeColor="text1"/>
                          <w:sz w:val="28"/>
                          <w:szCs w:val="28"/>
                        </w:rPr>
                        <w:t xml:space="preserve">3 months after </w:t>
                      </w:r>
                      <w:r w:rsidR="002B539F" w:rsidRPr="00CB2BFB">
                        <w:rPr>
                          <w:rFonts w:cstheme="minorHAnsi"/>
                          <w:color w:val="000000" w:themeColor="text1"/>
                          <w:sz w:val="28"/>
                          <w:szCs w:val="28"/>
                        </w:rPr>
                        <w:t>the cessation of all SSLEP activity</w:t>
                      </w:r>
                      <w:r w:rsidR="004E120A" w:rsidRPr="00CB2BFB">
                        <w:rPr>
                          <w:rFonts w:cstheme="minorHAnsi"/>
                          <w:color w:val="000000" w:themeColor="text1"/>
                          <w:sz w:val="28"/>
                          <w:szCs w:val="28"/>
                        </w:rPr>
                        <w:t>.</w:t>
                      </w:r>
                    </w:p>
                    <w:p w14:paraId="096967FD" w14:textId="7CFF0EAC" w:rsidR="00560770" w:rsidRPr="00560770" w:rsidRDefault="00560770" w:rsidP="00560770">
                      <w:pPr>
                        <w:pStyle w:val="NoSpacing"/>
                        <w:numPr>
                          <w:ilvl w:val="0"/>
                          <w:numId w:val="22"/>
                        </w:numPr>
                        <w:spacing w:before="120"/>
                        <w:jc w:val="both"/>
                        <w:rPr>
                          <w:rFonts w:cstheme="minorHAnsi"/>
                          <w:color w:val="000000" w:themeColor="text1"/>
                          <w:sz w:val="28"/>
                          <w:szCs w:val="28"/>
                        </w:rPr>
                      </w:pPr>
                      <w:r>
                        <w:rPr>
                          <w:rFonts w:cstheme="minorHAnsi"/>
                          <w:color w:val="000000" w:themeColor="text1"/>
                          <w:sz w:val="28"/>
                          <w:szCs w:val="28"/>
                        </w:rPr>
                        <w:t xml:space="preserve">Consider and comment upon the </w:t>
                      </w:r>
                      <w:r w:rsidR="00B771AA">
                        <w:rPr>
                          <w:rFonts w:cstheme="minorHAnsi"/>
                          <w:color w:val="000000" w:themeColor="text1"/>
                          <w:sz w:val="28"/>
                          <w:szCs w:val="28"/>
                        </w:rPr>
                        <w:t xml:space="preserve">progress so far on the future business voice for the area, including </w:t>
                      </w:r>
                      <w:r w:rsidR="0037026F">
                        <w:rPr>
                          <w:rFonts w:cstheme="minorHAnsi"/>
                          <w:color w:val="000000" w:themeColor="text1"/>
                          <w:sz w:val="28"/>
                          <w:szCs w:val="28"/>
                        </w:rPr>
                        <w:t>its</w:t>
                      </w:r>
                      <w:r w:rsidR="00DA707F">
                        <w:rPr>
                          <w:rFonts w:cstheme="minorHAnsi"/>
                          <w:color w:val="000000" w:themeColor="text1"/>
                          <w:sz w:val="28"/>
                          <w:szCs w:val="28"/>
                        </w:rPr>
                        <w:t xml:space="preserve"> </w:t>
                      </w:r>
                      <w:r w:rsidR="0037026F">
                        <w:rPr>
                          <w:rFonts w:cstheme="minorHAnsi"/>
                          <w:color w:val="000000" w:themeColor="text1"/>
                          <w:sz w:val="28"/>
                          <w:szCs w:val="28"/>
                        </w:rPr>
                        <w:t xml:space="preserve">emerging </w:t>
                      </w:r>
                      <w:r w:rsidR="00DA707F">
                        <w:rPr>
                          <w:rFonts w:cstheme="minorHAnsi"/>
                          <w:color w:val="000000" w:themeColor="text1"/>
                          <w:sz w:val="28"/>
                          <w:szCs w:val="28"/>
                        </w:rPr>
                        <w:t>principles</w:t>
                      </w:r>
                      <w:r w:rsidR="0037026F">
                        <w:rPr>
                          <w:rFonts w:cstheme="minorHAnsi"/>
                          <w:color w:val="000000" w:themeColor="text1"/>
                          <w:sz w:val="28"/>
                          <w:szCs w:val="28"/>
                        </w:rPr>
                        <w:t xml:space="preserve"> and strategic priorities, as set out in the report and </w:t>
                      </w:r>
                      <w:r w:rsidR="0088408A">
                        <w:rPr>
                          <w:rFonts w:cstheme="minorHAnsi"/>
                          <w:color w:val="000000" w:themeColor="text1"/>
                          <w:sz w:val="28"/>
                          <w:szCs w:val="28"/>
                        </w:rPr>
                        <w:t>appendix.</w:t>
                      </w:r>
                    </w:p>
                    <w:p w14:paraId="36B6A0F4" w14:textId="77777777" w:rsidR="00093A18" w:rsidRDefault="00093A18" w:rsidP="00093A18">
                      <w:pPr>
                        <w:rPr>
                          <w:rFonts w:ascii="Verdana" w:hAnsi="Verdana" w:cs="Arial"/>
                          <w:b/>
                          <w:color w:val="000000" w:themeColor="text1"/>
                        </w:rPr>
                      </w:pPr>
                    </w:p>
                  </w:txbxContent>
                </v:textbox>
                <w10:wrap anchorx="margin"/>
              </v:rect>
            </w:pict>
          </mc:Fallback>
        </mc:AlternateContent>
      </w:r>
    </w:p>
    <w:p w14:paraId="79DF9309" w14:textId="66CFA983" w:rsidR="00093A18" w:rsidRPr="00686CD6" w:rsidRDefault="00093A18" w:rsidP="002B07B2">
      <w:pPr>
        <w:spacing w:after="0" w:line="276" w:lineRule="auto"/>
        <w:rPr>
          <w:rFonts w:ascii="Verdana" w:hAnsi="Verdana" w:cs="Arial"/>
          <w:bCs/>
          <w:sz w:val="24"/>
          <w:szCs w:val="24"/>
        </w:rPr>
      </w:pPr>
    </w:p>
    <w:p w14:paraId="1118BA8E" w14:textId="4CE7F084" w:rsidR="00093A18" w:rsidRPr="00686CD6" w:rsidRDefault="00093A18" w:rsidP="002B07B2">
      <w:pPr>
        <w:spacing w:after="0" w:line="276" w:lineRule="auto"/>
        <w:rPr>
          <w:rFonts w:ascii="Verdana" w:hAnsi="Verdana" w:cs="Arial"/>
          <w:bCs/>
          <w:sz w:val="24"/>
          <w:szCs w:val="24"/>
        </w:rPr>
      </w:pPr>
    </w:p>
    <w:p w14:paraId="1AFDFB7C" w14:textId="3F0E7ADC" w:rsidR="00093A18" w:rsidRPr="00686CD6" w:rsidRDefault="00093A18" w:rsidP="002B07B2">
      <w:pPr>
        <w:pStyle w:val="NoSpacing"/>
        <w:spacing w:line="276" w:lineRule="auto"/>
        <w:ind w:left="720"/>
        <w:jc w:val="both"/>
        <w:rPr>
          <w:b/>
          <w:bCs/>
          <w:sz w:val="24"/>
          <w:szCs w:val="24"/>
        </w:rPr>
      </w:pPr>
    </w:p>
    <w:p w14:paraId="15990251" w14:textId="5E59896B" w:rsidR="00093A18" w:rsidRPr="00686CD6" w:rsidRDefault="00093A18" w:rsidP="002B07B2">
      <w:pPr>
        <w:pStyle w:val="NoSpacing"/>
        <w:spacing w:line="276" w:lineRule="auto"/>
        <w:ind w:left="720"/>
        <w:jc w:val="both"/>
        <w:rPr>
          <w:b/>
          <w:bCs/>
          <w:sz w:val="24"/>
          <w:szCs w:val="24"/>
        </w:rPr>
      </w:pPr>
    </w:p>
    <w:p w14:paraId="0DC671E2" w14:textId="20844CC5" w:rsidR="00093A18" w:rsidRPr="00686CD6" w:rsidRDefault="00093A18" w:rsidP="002B07B2">
      <w:pPr>
        <w:pStyle w:val="NoSpacing"/>
        <w:spacing w:line="276" w:lineRule="auto"/>
        <w:ind w:left="720"/>
        <w:jc w:val="both"/>
        <w:rPr>
          <w:b/>
          <w:bCs/>
          <w:sz w:val="24"/>
          <w:szCs w:val="24"/>
        </w:rPr>
      </w:pPr>
    </w:p>
    <w:p w14:paraId="0944BD9C" w14:textId="1088FFA4" w:rsidR="00093A18" w:rsidRPr="00686CD6" w:rsidRDefault="00093A18" w:rsidP="002B07B2">
      <w:pPr>
        <w:pStyle w:val="NoSpacing"/>
        <w:spacing w:line="276" w:lineRule="auto"/>
        <w:ind w:left="720"/>
        <w:jc w:val="both"/>
        <w:rPr>
          <w:b/>
          <w:bCs/>
          <w:sz w:val="24"/>
          <w:szCs w:val="24"/>
        </w:rPr>
      </w:pPr>
    </w:p>
    <w:p w14:paraId="5B1772F1" w14:textId="77777777" w:rsidR="00093A18" w:rsidRPr="00686CD6" w:rsidRDefault="00093A18" w:rsidP="002B07B2">
      <w:pPr>
        <w:pStyle w:val="NoSpacing"/>
        <w:spacing w:line="276" w:lineRule="auto"/>
        <w:ind w:left="720"/>
        <w:jc w:val="both"/>
        <w:rPr>
          <w:b/>
          <w:bCs/>
          <w:sz w:val="24"/>
          <w:szCs w:val="24"/>
        </w:rPr>
      </w:pPr>
    </w:p>
    <w:p w14:paraId="2532F335" w14:textId="77777777" w:rsidR="00093A18" w:rsidRPr="00686CD6" w:rsidRDefault="00093A18" w:rsidP="002B07B2">
      <w:pPr>
        <w:pStyle w:val="NoSpacing"/>
        <w:spacing w:line="276" w:lineRule="auto"/>
        <w:ind w:left="720"/>
        <w:jc w:val="both"/>
        <w:rPr>
          <w:b/>
          <w:bCs/>
          <w:sz w:val="24"/>
          <w:szCs w:val="24"/>
        </w:rPr>
      </w:pPr>
    </w:p>
    <w:p w14:paraId="22AFE7DD" w14:textId="77777777" w:rsidR="00093A18" w:rsidRPr="00686CD6" w:rsidRDefault="00093A18" w:rsidP="002B07B2">
      <w:pPr>
        <w:pStyle w:val="NoSpacing"/>
        <w:spacing w:line="276" w:lineRule="auto"/>
        <w:ind w:left="720"/>
        <w:jc w:val="both"/>
        <w:rPr>
          <w:b/>
          <w:bCs/>
          <w:sz w:val="24"/>
          <w:szCs w:val="24"/>
        </w:rPr>
      </w:pPr>
    </w:p>
    <w:p w14:paraId="3EC0A55E" w14:textId="77777777" w:rsidR="00093A18" w:rsidRPr="00686CD6" w:rsidRDefault="00093A18" w:rsidP="002B07B2">
      <w:pPr>
        <w:pStyle w:val="NoSpacing"/>
        <w:spacing w:line="276" w:lineRule="auto"/>
        <w:ind w:left="720"/>
        <w:jc w:val="both"/>
        <w:rPr>
          <w:b/>
          <w:bCs/>
          <w:sz w:val="24"/>
          <w:szCs w:val="24"/>
        </w:rPr>
      </w:pPr>
    </w:p>
    <w:p w14:paraId="0E7F5077" w14:textId="77777777" w:rsidR="00093A18" w:rsidRPr="00686CD6" w:rsidRDefault="00093A18" w:rsidP="002B07B2">
      <w:pPr>
        <w:pStyle w:val="NoSpacing"/>
        <w:spacing w:line="276" w:lineRule="auto"/>
        <w:ind w:left="720"/>
        <w:jc w:val="both"/>
        <w:rPr>
          <w:b/>
          <w:bCs/>
          <w:sz w:val="24"/>
          <w:szCs w:val="24"/>
        </w:rPr>
      </w:pPr>
    </w:p>
    <w:p w14:paraId="0C0539FC" w14:textId="77777777" w:rsidR="00093A18" w:rsidRPr="00686CD6" w:rsidRDefault="00093A18" w:rsidP="002B07B2">
      <w:pPr>
        <w:pStyle w:val="NoSpacing"/>
        <w:spacing w:line="276" w:lineRule="auto"/>
        <w:ind w:left="720"/>
        <w:jc w:val="both"/>
        <w:rPr>
          <w:b/>
          <w:bCs/>
          <w:sz w:val="24"/>
          <w:szCs w:val="24"/>
        </w:rPr>
      </w:pPr>
    </w:p>
    <w:p w14:paraId="4ABA852E" w14:textId="77777777" w:rsidR="00093A18" w:rsidRPr="00686CD6" w:rsidRDefault="00093A18" w:rsidP="002B07B2">
      <w:pPr>
        <w:pStyle w:val="NoSpacing"/>
        <w:spacing w:line="276" w:lineRule="auto"/>
        <w:ind w:left="720"/>
        <w:jc w:val="both"/>
        <w:rPr>
          <w:b/>
          <w:bCs/>
          <w:sz w:val="24"/>
          <w:szCs w:val="24"/>
        </w:rPr>
      </w:pPr>
    </w:p>
    <w:p w14:paraId="7D58CC8B" w14:textId="77777777" w:rsidR="00093A18" w:rsidRPr="00686CD6" w:rsidRDefault="00093A18" w:rsidP="002B07B2">
      <w:pPr>
        <w:pStyle w:val="NoSpacing"/>
        <w:spacing w:line="276" w:lineRule="auto"/>
        <w:ind w:left="720"/>
        <w:jc w:val="both"/>
        <w:rPr>
          <w:b/>
          <w:bCs/>
          <w:sz w:val="24"/>
          <w:szCs w:val="24"/>
        </w:rPr>
      </w:pPr>
    </w:p>
    <w:p w14:paraId="28E1D8EA" w14:textId="77777777" w:rsidR="00093A18" w:rsidRPr="00686CD6" w:rsidRDefault="00093A18" w:rsidP="002B07B2">
      <w:pPr>
        <w:pStyle w:val="NoSpacing"/>
        <w:spacing w:line="276" w:lineRule="auto"/>
        <w:ind w:left="720"/>
        <w:jc w:val="both"/>
        <w:rPr>
          <w:b/>
          <w:bCs/>
          <w:sz w:val="24"/>
          <w:szCs w:val="24"/>
        </w:rPr>
      </w:pPr>
    </w:p>
    <w:p w14:paraId="13DA2A80" w14:textId="77777777" w:rsidR="00093A18" w:rsidRPr="00686CD6" w:rsidRDefault="00093A18" w:rsidP="002B07B2">
      <w:pPr>
        <w:pStyle w:val="NoSpacing"/>
        <w:spacing w:line="276" w:lineRule="auto"/>
        <w:ind w:left="720"/>
        <w:jc w:val="both"/>
        <w:rPr>
          <w:b/>
          <w:bCs/>
          <w:sz w:val="24"/>
          <w:szCs w:val="24"/>
        </w:rPr>
      </w:pPr>
    </w:p>
    <w:p w14:paraId="31D298F4" w14:textId="77777777" w:rsidR="00093A18" w:rsidRPr="00686CD6" w:rsidRDefault="00093A18" w:rsidP="002B07B2">
      <w:pPr>
        <w:pStyle w:val="NoSpacing"/>
        <w:spacing w:line="276" w:lineRule="auto"/>
        <w:ind w:left="720"/>
        <w:jc w:val="both"/>
        <w:rPr>
          <w:b/>
          <w:bCs/>
          <w:sz w:val="24"/>
          <w:szCs w:val="24"/>
        </w:rPr>
      </w:pPr>
    </w:p>
    <w:p w14:paraId="523D9BE8" w14:textId="77777777" w:rsidR="00093A18" w:rsidRPr="00686CD6" w:rsidRDefault="00093A18" w:rsidP="002B07B2">
      <w:pPr>
        <w:pStyle w:val="NoSpacing"/>
        <w:spacing w:line="276" w:lineRule="auto"/>
        <w:ind w:left="720"/>
        <w:jc w:val="both"/>
        <w:rPr>
          <w:b/>
          <w:bCs/>
          <w:sz w:val="24"/>
          <w:szCs w:val="24"/>
        </w:rPr>
      </w:pPr>
    </w:p>
    <w:p w14:paraId="413D7D50" w14:textId="77777777" w:rsidR="00093A18" w:rsidRPr="00686CD6" w:rsidRDefault="00093A18" w:rsidP="002B07B2">
      <w:pPr>
        <w:pStyle w:val="NoSpacing"/>
        <w:spacing w:line="276" w:lineRule="auto"/>
        <w:ind w:left="720"/>
        <w:jc w:val="both"/>
        <w:rPr>
          <w:b/>
          <w:bCs/>
          <w:sz w:val="24"/>
          <w:szCs w:val="24"/>
        </w:rPr>
      </w:pPr>
    </w:p>
    <w:p w14:paraId="01C63268" w14:textId="77777777" w:rsidR="00093A18" w:rsidRPr="00686CD6" w:rsidRDefault="00093A18" w:rsidP="002B07B2">
      <w:pPr>
        <w:pStyle w:val="NoSpacing"/>
        <w:spacing w:line="276" w:lineRule="auto"/>
        <w:ind w:left="720"/>
        <w:jc w:val="both"/>
        <w:rPr>
          <w:b/>
          <w:bCs/>
          <w:sz w:val="24"/>
          <w:szCs w:val="24"/>
        </w:rPr>
      </w:pPr>
    </w:p>
    <w:p w14:paraId="2F1BE13C" w14:textId="36506FCC" w:rsidR="00093A18" w:rsidRPr="00686CD6" w:rsidRDefault="00093A18" w:rsidP="002B07B2">
      <w:pPr>
        <w:pStyle w:val="NoSpacing"/>
        <w:spacing w:line="276" w:lineRule="auto"/>
        <w:ind w:left="720"/>
        <w:jc w:val="both"/>
        <w:rPr>
          <w:b/>
          <w:bCs/>
          <w:sz w:val="24"/>
          <w:szCs w:val="24"/>
        </w:rPr>
      </w:pPr>
    </w:p>
    <w:p w14:paraId="46DDAD7D" w14:textId="41558015" w:rsidR="00093A18" w:rsidRPr="00686CD6" w:rsidRDefault="00093A18" w:rsidP="002B07B2">
      <w:pPr>
        <w:pStyle w:val="NoSpacing"/>
        <w:spacing w:line="276" w:lineRule="auto"/>
        <w:ind w:left="720"/>
        <w:jc w:val="both"/>
        <w:rPr>
          <w:b/>
          <w:bCs/>
          <w:sz w:val="24"/>
          <w:szCs w:val="24"/>
        </w:rPr>
      </w:pPr>
    </w:p>
    <w:p w14:paraId="081F8025" w14:textId="3B83CF1A" w:rsidR="00093A18" w:rsidRPr="00686CD6" w:rsidRDefault="00093A18" w:rsidP="002B07B2">
      <w:pPr>
        <w:pStyle w:val="NoSpacing"/>
        <w:spacing w:line="276" w:lineRule="auto"/>
        <w:ind w:left="720"/>
        <w:jc w:val="both"/>
        <w:rPr>
          <w:b/>
          <w:bCs/>
          <w:sz w:val="24"/>
          <w:szCs w:val="24"/>
        </w:rPr>
      </w:pPr>
    </w:p>
    <w:p w14:paraId="51634313" w14:textId="6811028C" w:rsidR="00093A18" w:rsidRPr="00686CD6" w:rsidRDefault="00093A18" w:rsidP="002B07B2">
      <w:pPr>
        <w:pStyle w:val="NoSpacing"/>
        <w:spacing w:line="276" w:lineRule="auto"/>
        <w:ind w:left="720"/>
        <w:jc w:val="both"/>
        <w:rPr>
          <w:b/>
          <w:bCs/>
          <w:sz w:val="24"/>
          <w:szCs w:val="24"/>
        </w:rPr>
      </w:pPr>
    </w:p>
    <w:p w14:paraId="6F9B9C1C" w14:textId="3FC0C38D" w:rsidR="00093A18" w:rsidRPr="00686CD6" w:rsidRDefault="00093A18" w:rsidP="002B07B2">
      <w:pPr>
        <w:pStyle w:val="NoSpacing"/>
        <w:spacing w:line="276" w:lineRule="auto"/>
        <w:ind w:left="720"/>
        <w:jc w:val="both"/>
        <w:rPr>
          <w:b/>
          <w:bCs/>
          <w:sz w:val="24"/>
          <w:szCs w:val="24"/>
        </w:rPr>
      </w:pPr>
    </w:p>
    <w:p w14:paraId="611AC8EB" w14:textId="5B9AD143" w:rsidR="00093A18" w:rsidRPr="00686CD6" w:rsidRDefault="00093A18" w:rsidP="002B07B2">
      <w:pPr>
        <w:pStyle w:val="NoSpacing"/>
        <w:spacing w:line="276" w:lineRule="auto"/>
        <w:ind w:left="720"/>
        <w:jc w:val="both"/>
        <w:rPr>
          <w:b/>
          <w:bCs/>
          <w:sz w:val="24"/>
          <w:szCs w:val="24"/>
        </w:rPr>
      </w:pPr>
    </w:p>
    <w:p w14:paraId="6486266C" w14:textId="56BF62EE" w:rsidR="00093A18" w:rsidRPr="00686CD6" w:rsidRDefault="00093A18" w:rsidP="002B07B2">
      <w:pPr>
        <w:pStyle w:val="NoSpacing"/>
        <w:spacing w:line="276" w:lineRule="auto"/>
        <w:jc w:val="both"/>
        <w:rPr>
          <w:b/>
          <w:bCs/>
          <w:sz w:val="24"/>
          <w:szCs w:val="24"/>
        </w:rPr>
      </w:pPr>
    </w:p>
    <w:p w14:paraId="07431AC8" w14:textId="77777777" w:rsidR="00BF50C9" w:rsidRPr="00686CD6" w:rsidRDefault="00BF50C9" w:rsidP="002B07B2">
      <w:pPr>
        <w:pStyle w:val="NoSpacing"/>
        <w:spacing w:line="276" w:lineRule="auto"/>
        <w:jc w:val="both"/>
        <w:rPr>
          <w:b/>
          <w:bCs/>
          <w:sz w:val="24"/>
          <w:szCs w:val="24"/>
        </w:rPr>
      </w:pPr>
    </w:p>
    <w:p w14:paraId="1736AFDA" w14:textId="2804EF6D" w:rsidR="00093A18" w:rsidRPr="00686CD6" w:rsidRDefault="00093A18" w:rsidP="002B07B2">
      <w:pPr>
        <w:pStyle w:val="NoSpacing"/>
        <w:spacing w:line="276" w:lineRule="auto"/>
        <w:ind w:left="720"/>
        <w:jc w:val="both"/>
        <w:rPr>
          <w:b/>
          <w:bCs/>
          <w:sz w:val="24"/>
          <w:szCs w:val="24"/>
        </w:rPr>
      </w:pPr>
    </w:p>
    <w:p w14:paraId="6061E909" w14:textId="2735E034" w:rsidR="00093A18" w:rsidRDefault="00093A18" w:rsidP="002B07B2">
      <w:pPr>
        <w:pStyle w:val="NoSpacing"/>
        <w:spacing w:line="276" w:lineRule="auto"/>
        <w:ind w:left="720"/>
        <w:jc w:val="both"/>
        <w:rPr>
          <w:b/>
          <w:bCs/>
          <w:sz w:val="24"/>
          <w:szCs w:val="24"/>
        </w:rPr>
      </w:pPr>
    </w:p>
    <w:p w14:paraId="5ADFBB83" w14:textId="77777777" w:rsidR="00C46670" w:rsidRPr="00686CD6" w:rsidRDefault="00C46670" w:rsidP="002B07B2">
      <w:pPr>
        <w:pStyle w:val="NoSpacing"/>
        <w:spacing w:line="276" w:lineRule="auto"/>
        <w:ind w:left="720"/>
        <w:jc w:val="both"/>
        <w:rPr>
          <w:b/>
          <w:bCs/>
          <w:sz w:val="24"/>
          <w:szCs w:val="24"/>
        </w:rPr>
      </w:pPr>
    </w:p>
    <w:p w14:paraId="4EDCF272" w14:textId="77777777" w:rsidR="003C4BEB" w:rsidRDefault="00BF50C9" w:rsidP="003C4BEB">
      <w:pPr>
        <w:pStyle w:val="Footer"/>
        <w:spacing w:line="276" w:lineRule="auto"/>
        <w:jc w:val="right"/>
        <w:rPr>
          <w:sz w:val="24"/>
          <w:szCs w:val="24"/>
        </w:rPr>
      </w:pPr>
      <w:r w:rsidRPr="00686CD6">
        <w:rPr>
          <w:sz w:val="24"/>
          <w:szCs w:val="24"/>
        </w:rPr>
        <w:t>Report Author</w:t>
      </w:r>
      <w:r w:rsidR="00665991">
        <w:rPr>
          <w:sz w:val="24"/>
          <w:szCs w:val="24"/>
        </w:rPr>
        <w:t>s</w:t>
      </w:r>
      <w:r w:rsidRPr="00686CD6">
        <w:rPr>
          <w:sz w:val="24"/>
          <w:szCs w:val="24"/>
        </w:rPr>
        <w:t>:</w:t>
      </w:r>
      <w:r w:rsidR="001C34A0">
        <w:rPr>
          <w:sz w:val="24"/>
          <w:szCs w:val="24"/>
        </w:rPr>
        <w:t xml:space="preserve"> </w:t>
      </w:r>
      <w:r w:rsidR="003C4BEB">
        <w:rPr>
          <w:sz w:val="24"/>
          <w:szCs w:val="24"/>
        </w:rPr>
        <w:t xml:space="preserve">Darryl Eyers, Director for Economy, Infrastructure &amp; Skills, SCC </w:t>
      </w:r>
    </w:p>
    <w:p w14:paraId="0D4DE625" w14:textId="77777777" w:rsidR="003C4BEB" w:rsidRPr="00686CD6" w:rsidRDefault="003C4BEB" w:rsidP="003C4BEB">
      <w:pPr>
        <w:pStyle w:val="Footer"/>
        <w:spacing w:line="276" w:lineRule="auto"/>
        <w:jc w:val="right"/>
        <w:rPr>
          <w:sz w:val="24"/>
          <w:szCs w:val="24"/>
        </w:rPr>
      </w:pPr>
      <w:r>
        <w:rPr>
          <w:color w:val="000000"/>
          <w:sz w:val="24"/>
          <w:szCs w:val="24"/>
          <w:lang w:eastAsia="en-GB"/>
        </w:rPr>
        <w:t xml:space="preserve">Angela Glithero, Assistant Director – Strategy, </w:t>
      </w:r>
      <w:proofErr w:type="gramStart"/>
      <w:r>
        <w:rPr>
          <w:color w:val="000000"/>
          <w:sz w:val="24"/>
          <w:szCs w:val="24"/>
          <w:lang w:eastAsia="en-GB"/>
        </w:rPr>
        <w:t>Economy</w:t>
      </w:r>
      <w:proofErr w:type="gramEnd"/>
      <w:r>
        <w:rPr>
          <w:color w:val="000000"/>
          <w:sz w:val="24"/>
          <w:szCs w:val="24"/>
          <w:lang w:eastAsia="en-GB"/>
        </w:rPr>
        <w:t xml:space="preserve"> and Communications, SoTCC</w:t>
      </w:r>
    </w:p>
    <w:p w14:paraId="389567E4" w14:textId="240C1294" w:rsidR="00BF50C9" w:rsidRDefault="003C4BEB" w:rsidP="002B07B2">
      <w:pPr>
        <w:pStyle w:val="Footer"/>
        <w:spacing w:line="276" w:lineRule="auto"/>
        <w:jc w:val="right"/>
        <w:rPr>
          <w:sz w:val="24"/>
          <w:szCs w:val="24"/>
        </w:rPr>
      </w:pPr>
      <w:r>
        <w:rPr>
          <w:sz w:val="24"/>
          <w:szCs w:val="24"/>
        </w:rPr>
        <w:t>6</w:t>
      </w:r>
      <w:r w:rsidRPr="003C4BEB">
        <w:rPr>
          <w:sz w:val="24"/>
          <w:szCs w:val="24"/>
          <w:vertAlign w:val="superscript"/>
        </w:rPr>
        <w:t>th</w:t>
      </w:r>
      <w:r>
        <w:rPr>
          <w:sz w:val="24"/>
          <w:szCs w:val="24"/>
        </w:rPr>
        <w:t xml:space="preserve"> March 2024</w:t>
      </w:r>
    </w:p>
    <w:p w14:paraId="7CE38E02" w14:textId="754A9690" w:rsidR="005411A4" w:rsidRDefault="005B4A79" w:rsidP="002B07B2">
      <w:pPr>
        <w:pStyle w:val="NoSpacing"/>
        <w:numPr>
          <w:ilvl w:val="0"/>
          <w:numId w:val="10"/>
        </w:numPr>
        <w:spacing w:line="276" w:lineRule="auto"/>
        <w:ind w:left="567" w:hanging="567"/>
        <w:jc w:val="both"/>
        <w:rPr>
          <w:b/>
          <w:bCs/>
          <w:sz w:val="24"/>
          <w:szCs w:val="24"/>
        </w:rPr>
      </w:pPr>
      <w:r w:rsidRPr="00686CD6">
        <w:rPr>
          <w:b/>
          <w:bCs/>
          <w:sz w:val="24"/>
          <w:szCs w:val="24"/>
        </w:rPr>
        <w:lastRenderedPageBreak/>
        <w:t>Background</w:t>
      </w:r>
    </w:p>
    <w:p w14:paraId="0691AD03" w14:textId="33E8A62A" w:rsidR="00F42D4A" w:rsidRPr="0056756C" w:rsidRDefault="00F42D4A" w:rsidP="002B07B2">
      <w:pPr>
        <w:pStyle w:val="NoSpacing"/>
        <w:spacing w:line="276" w:lineRule="auto"/>
        <w:ind w:left="567"/>
        <w:jc w:val="both"/>
        <w:rPr>
          <w:sz w:val="24"/>
          <w:szCs w:val="24"/>
        </w:rPr>
      </w:pPr>
    </w:p>
    <w:p w14:paraId="155522DD" w14:textId="46FEA381" w:rsidR="00FD17A2" w:rsidRDefault="0015379E" w:rsidP="002B07B2">
      <w:pPr>
        <w:pStyle w:val="NoSpacing"/>
        <w:numPr>
          <w:ilvl w:val="1"/>
          <w:numId w:val="10"/>
        </w:numPr>
        <w:spacing w:line="276" w:lineRule="auto"/>
        <w:ind w:left="567" w:hanging="567"/>
        <w:jc w:val="both"/>
        <w:rPr>
          <w:sz w:val="24"/>
          <w:szCs w:val="24"/>
        </w:rPr>
      </w:pPr>
      <w:r>
        <w:rPr>
          <w:sz w:val="24"/>
          <w:szCs w:val="24"/>
        </w:rPr>
        <w:t xml:space="preserve">Following the </w:t>
      </w:r>
      <w:r w:rsidR="00497807">
        <w:rPr>
          <w:sz w:val="24"/>
          <w:szCs w:val="24"/>
        </w:rPr>
        <w:t>Government</w:t>
      </w:r>
      <w:r>
        <w:rPr>
          <w:sz w:val="24"/>
          <w:szCs w:val="24"/>
        </w:rPr>
        <w:t>’s change in policy direction</w:t>
      </w:r>
      <w:r w:rsidR="008E5B61">
        <w:rPr>
          <w:sz w:val="24"/>
          <w:szCs w:val="24"/>
        </w:rPr>
        <w:t xml:space="preserve"> </w:t>
      </w:r>
      <w:r w:rsidR="0056768C">
        <w:rPr>
          <w:sz w:val="24"/>
          <w:szCs w:val="24"/>
        </w:rPr>
        <w:t xml:space="preserve">and the integration of </w:t>
      </w:r>
      <w:r w:rsidR="008E5B61">
        <w:rPr>
          <w:sz w:val="24"/>
          <w:szCs w:val="24"/>
        </w:rPr>
        <w:t xml:space="preserve">LEP functions into local democratic </w:t>
      </w:r>
      <w:r w:rsidR="00772B4C">
        <w:rPr>
          <w:sz w:val="24"/>
          <w:szCs w:val="24"/>
        </w:rPr>
        <w:t>institution</w:t>
      </w:r>
      <w:r w:rsidR="009F14D1">
        <w:rPr>
          <w:sz w:val="24"/>
          <w:szCs w:val="24"/>
        </w:rPr>
        <w:t>s</w:t>
      </w:r>
      <w:r w:rsidR="000B47BA">
        <w:rPr>
          <w:sz w:val="24"/>
          <w:szCs w:val="24"/>
        </w:rPr>
        <w:t xml:space="preserve"> from April 2024</w:t>
      </w:r>
      <w:r w:rsidR="00772B4C">
        <w:rPr>
          <w:sz w:val="24"/>
          <w:szCs w:val="24"/>
        </w:rPr>
        <w:t xml:space="preserve">, the SSLEP considered a </w:t>
      </w:r>
      <w:r w:rsidR="008F5CE2">
        <w:rPr>
          <w:sz w:val="24"/>
          <w:szCs w:val="24"/>
        </w:rPr>
        <w:t>Future LEP Arrangements</w:t>
      </w:r>
      <w:r w:rsidR="00E12C69">
        <w:rPr>
          <w:sz w:val="24"/>
          <w:szCs w:val="24"/>
        </w:rPr>
        <w:t xml:space="preserve"> report</w:t>
      </w:r>
      <w:r w:rsidR="00FA47AE">
        <w:rPr>
          <w:sz w:val="24"/>
          <w:szCs w:val="24"/>
        </w:rPr>
        <w:t xml:space="preserve"> in September 2023.  This included </w:t>
      </w:r>
      <w:r w:rsidR="00FD17A2">
        <w:rPr>
          <w:sz w:val="24"/>
          <w:szCs w:val="24"/>
        </w:rPr>
        <w:t xml:space="preserve">the following </w:t>
      </w:r>
      <w:r w:rsidR="00FA47AE">
        <w:rPr>
          <w:sz w:val="24"/>
          <w:szCs w:val="24"/>
        </w:rPr>
        <w:t xml:space="preserve">recommendations </w:t>
      </w:r>
      <w:r w:rsidR="003579C9">
        <w:rPr>
          <w:sz w:val="24"/>
          <w:szCs w:val="24"/>
        </w:rPr>
        <w:t>which</w:t>
      </w:r>
      <w:r w:rsidR="00E12C69">
        <w:rPr>
          <w:sz w:val="24"/>
          <w:szCs w:val="24"/>
        </w:rPr>
        <w:t>, due to the meeting not being quorate,</w:t>
      </w:r>
      <w:r w:rsidR="003579C9">
        <w:rPr>
          <w:sz w:val="24"/>
          <w:szCs w:val="24"/>
        </w:rPr>
        <w:t xml:space="preserve"> were su</w:t>
      </w:r>
      <w:r w:rsidR="00B60A4F">
        <w:rPr>
          <w:sz w:val="24"/>
          <w:szCs w:val="24"/>
        </w:rPr>
        <w:t xml:space="preserve">bsequently agreed </w:t>
      </w:r>
      <w:r w:rsidR="00532A83">
        <w:rPr>
          <w:sz w:val="24"/>
          <w:szCs w:val="24"/>
        </w:rPr>
        <w:t xml:space="preserve">by all the Executive Board members </w:t>
      </w:r>
      <w:r w:rsidR="00B60A4F">
        <w:rPr>
          <w:sz w:val="24"/>
          <w:szCs w:val="24"/>
        </w:rPr>
        <w:t xml:space="preserve">through </w:t>
      </w:r>
      <w:r w:rsidR="000B47BA">
        <w:rPr>
          <w:sz w:val="24"/>
          <w:szCs w:val="24"/>
        </w:rPr>
        <w:t xml:space="preserve">the </w:t>
      </w:r>
      <w:r w:rsidR="00022442">
        <w:rPr>
          <w:sz w:val="24"/>
          <w:szCs w:val="24"/>
        </w:rPr>
        <w:t>Electronic Procedure</w:t>
      </w:r>
      <w:r w:rsidR="00FF148E">
        <w:rPr>
          <w:sz w:val="24"/>
          <w:szCs w:val="24"/>
        </w:rPr>
        <w:t xml:space="preserve"> in September / October</w:t>
      </w:r>
      <w:r w:rsidR="00FD17A2">
        <w:rPr>
          <w:sz w:val="24"/>
          <w:szCs w:val="24"/>
        </w:rPr>
        <w:t>:</w:t>
      </w:r>
    </w:p>
    <w:p w14:paraId="3FEEE7B4" w14:textId="77777777" w:rsidR="00FD17A2" w:rsidRDefault="00FD17A2" w:rsidP="002B07B2">
      <w:pPr>
        <w:pStyle w:val="NoSpacing"/>
        <w:spacing w:line="276" w:lineRule="auto"/>
        <w:ind w:left="720"/>
        <w:jc w:val="both"/>
        <w:rPr>
          <w:sz w:val="24"/>
          <w:szCs w:val="24"/>
        </w:rPr>
      </w:pPr>
    </w:p>
    <w:p w14:paraId="3249CAEE" w14:textId="77777777" w:rsidR="00FD17A2" w:rsidRPr="00FD17A2" w:rsidRDefault="00FD17A2" w:rsidP="002B07B2">
      <w:pPr>
        <w:pStyle w:val="NoSpacing"/>
        <w:numPr>
          <w:ilvl w:val="0"/>
          <w:numId w:val="28"/>
        </w:numPr>
        <w:spacing w:line="276" w:lineRule="auto"/>
        <w:ind w:left="1134" w:hanging="567"/>
        <w:jc w:val="both"/>
        <w:rPr>
          <w:sz w:val="24"/>
          <w:szCs w:val="24"/>
        </w:rPr>
      </w:pPr>
      <w:r w:rsidRPr="00FD17A2">
        <w:rPr>
          <w:sz w:val="24"/>
          <w:szCs w:val="24"/>
        </w:rPr>
        <w:t>The Executive Board agrees in principle to the closure of the SSLEP by the end of March 2024, subject to legal advice on the closure process and the LEP and its Directors’ liabilities.</w:t>
      </w:r>
    </w:p>
    <w:p w14:paraId="4B06D13F" w14:textId="1FA9D194" w:rsidR="00FD17A2" w:rsidRPr="00FD17A2" w:rsidRDefault="00FD17A2" w:rsidP="002B07B2">
      <w:pPr>
        <w:pStyle w:val="NoSpacing"/>
        <w:numPr>
          <w:ilvl w:val="0"/>
          <w:numId w:val="28"/>
        </w:numPr>
        <w:spacing w:before="120" w:line="276" w:lineRule="auto"/>
        <w:ind w:left="1134" w:hanging="567"/>
        <w:jc w:val="both"/>
        <w:rPr>
          <w:sz w:val="24"/>
          <w:szCs w:val="24"/>
        </w:rPr>
      </w:pPr>
      <w:r w:rsidRPr="00FD17A2">
        <w:rPr>
          <w:sz w:val="24"/>
          <w:szCs w:val="24"/>
        </w:rPr>
        <w:t>The SSLEP</w:t>
      </w:r>
      <w:r w:rsidR="003D53DC">
        <w:rPr>
          <w:sz w:val="24"/>
          <w:szCs w:val="24"/>
        </w:rPr>
        <w:t>’</w:t>
      </w:r>
      <w:r w:rsidRPr="00FD17A2">
        <w:rPr>
          <w:sz w:val="24"/>
          <w:szCs w:val="24"/>
        </w:rPr>
        <w:t xml:space="preserve">s functions and assets to be transferred to </w:t>
      </w:r>
      <w:r w:rsidR="003A5678">
        <w:rPr>
          <w:sz w:val="24"/>
          <w:szCs w:val="24"/>
        </w:rPr>
        <w:t xml:space="preserve">Staffordshire County Council (SCC) as </w:t>
      </w:r>
      <w:r w:rsidRPr="00FD17A2">
        <w:rPr>
          <w:sz w:val="24"/>
          <w:szCs w:val="24"/>
        </w:rPr>
        <w:t>the</w:t>
      </w:r>
      <w:r w:rsidR="00334E55">
        <w:rPr>
          <w:sz w:val="24"/>
          <w:szCs w:val="24"/>
        </w:rPr>
        <w:t xml:space="preserve"> </w:t>
      </w:r>
      <w:r w:rsidRPr="00FD17A2">
        <w:rPr>
          <w:sz w:val="24"/>
          <w:szCs w:val="24"/>
        </w:rPr>
        <w:t>Accountable Body, in line with Government guidance and in consultation with Stoke-on-Trent City Council (SoTCC).</w:t>
      </w:r>
    </w:p>
    <w:p w14:paraId="472335B8" w14:textId="056E5764" w:rsidR="00E52291" w:rsidRPr="00E52291" w:rsidRDefault="00E52291" w:rsidP="002B07B2">
      <w:pPr>
        <w:pStyle w:val="NoSpacing"/>
        <w:spacing w:line="276" w:lineRule="auto"/>
        <w:jc w:val="both"/>
        <w:rPr>
          <w:sz w:val="24"/>
          <w:szCs w:val="24"/>
        </w:rPr>
      </w:pPr>
    </w:p>
    <w:p w14:paraId="702C06D8" w14:textId="1EE5B91D" w:rsidR="001970F1" w:rsidRDefault="003D0857" w:rsidP="002B07B2">
      <w:pPr>
        <w:pStyle w:val="NoSpacing"/>
        <w:numPr>
          <w:ilvl w:val="1"/>
          <w:numId w:val="10"/>
        </w:numPr>
        <w:spacing w:line="276" w:lineRule="auto"/>
        <w:ind w:left="567" w:hanging="567"/>
        <w:jc w:val="both"/>
        <w:rPr>
          <w:sz w:val="24"/>
          <w:szCs w:val="24"/>
        </w:rPr>
      </w:pPr>
      <w:r w:rsidRPr="00532A83">
        <w:rPr>
          <w:sz w:val="24"/>
          <w:szCs w:val="24"/>
        </w:rPr>
        <w:t>Legal advice commissioned from Bevan Brittan on these</w:t>
      </w:r>
      <w:r w:rsidR="00D05142" w:rsidRPr="00532A83">
        <w:rPr>
          <w:sz w:val="24"/>
          <w:szCs w:val="24"/>
        </w:rPr>
        <w:t xml:space="preserve"> issues is set out in appendix</w:t>
      </w:r>
      <w:r w:rsidR="00BD4F4E">
        <w:rPr>
          <w:sz w:val="24"/>
          <w:szCs w:val="24"/>
        </w:rPr>
        <w:t xml:space="preserve"> </w:t>
      </w:r>
      <w:r w:rsidR="00E4469A">
        <w:rPr>
          <w:sz w:val="24"/>
          <w:szCs w:val="24"/>
        </w:rPr>
        <w:t>1</w:t>
      </w:r>
      <w:r w:rsidR="00D05142" w:rsidRPr="00532A83">
        <w:rPr>
          <w:sz w:val="24"/>
          <w:szCs w:val="24"/>
        </w:rPr>
        <w:t xml:space="preserve">, with the salient points set out in summary in this report.  </w:t>
      </w:r>
      <w:r w:rsidR="004E7767" w:rsidRPr="00532A83">
        <w:rPr>
          <w:sz w:val="24"/>
          <w:szCs w:val="24"/>
        </w:rPr>
        <w:t xml:space="preserve">This provides a clear procedure for the closure </w:t>
      </w:r>
      <w:r w:rsidR="00FC172B" w:rsidRPr="00532A83">
        <w:rPr>
          <w:sz w:val="24"/>
          <w:szCs w:val="24"/>
        </w:rPr>
        <w:t>of the SSLEP as a private company limited by guarantee</w:t>
      </w:r>
      <w:r w:rsidR="00532A83">
        <w:rPr>
          <w:sz w:val="24"/>
          <w:szCs w:val="24"/>
        </w:rPr>
        <w:t>.</w:t>
      </w:r>
    </w:p>
    <w:p w14:paraId="69F66BA0" w14:textId="77777777" w:rsidR="00532A83" w:rsidRPr="00532A83" w:rsidRDefault="00532A83" w:rsidP="002B07B2">
      <w:pPr>
        <w:pStyle w:val="NoSpacing"/>
        <w:spacing w:line="276" w:lineRule="auto"/>
        <w:ind w:left="567"/>
        <w:jc w:val="both"/>
        <w:rPr>
          <w:sz w:val="24"/>
          <w:szCs w:val="24"/>
        </w:rPr>
      </w:pPr>
    </w:p>
    <w:p w14:paraId="078A9D91" w14:textId="7CF6EC31" w:rsidR="00CD3D07" w:rsidRDefault="00CD3D07" w:rsidP="002B07B2">
      <w:pPr>
        <w:pStyle w:val="NoSpacing"/>
        <w:numPr>
          <w:ilvl w:val="0"/>
          <w:numId w:val="10"/>
        </w:numPr>
        <w:spacing w:line="276" w:lineRule="auto"/>
        <w:ind w:left="567" w:hanging="567"/>
        <w:jc w:val="both"/>
        <w:rPr>
          <w:b/>
          <w:bCs/>
          <w:sz w:val="24"/>
          <w:szCs w:val="24"/>
        </w:rPr>
      </w:pPr>
      <w:r>
        <w:rPr>
          <w:b/>
          <w:bCs/>
          <w:sz w:val="24"/>
          <w:szCs w:val="24"/>
        </w:rPr>
        <w:t>Directors Liabilities</w:t>
      </w:r>
    </w:p>
    <w:p w14:paraId="3A00A81F" w14:textId="77777777" w:rsidR="00CD3D07" w:rsidRDefault="00CD3D07" w:rsidP="002B07B2">
      <w:pPr>
        <w:pStyle w:val="NoSpacing"/>
        <w:spacing w:line="276" w:lineRule="auto"/>
        <w:ind w:left="567"/>
        <w:jc w:val="both"/>
        <w:rPr>
          <w:b/>
          <w:bCs/>
          <w:sz w:val="24"/>
          <w:szCs w:val="24"/>
        </w:rPr>
      </w:pPr>
    </w:p>
    <w:p w14:paraId="2B58C50A" w14:textId="6A3E82A0" w:rsidR="002F283E" w:rsidRPr="00877FDB" w:rsidRDefault="00115642" w:rsidP="00877FDB">
      <w:pPr>
        <w:pStyle w:val="NoSpacing"/>
        <w:numPr>
          <w:ilvl w:val="1"/>
          <w:numId w:val="10"/>
        </w:numPr>
        <w:spacing w:line="276" w:lineRule="auto"/>
        <w:ind w:left="567" w:hanging="567"/>
        <w:jc w:val="both"/>
        <w:rPr>
          <w:sz w:val="24"/>
          <w:szCs w:val="24"/>
        </w:rPr>
      </w:pPr>
      <w:r>
        <w:rPr>
          <w:sz w:val="24"/>
          <w:szCs w:val="24"/>
        </w:rPr>
        <w:t xml:space="preserve">A set out in the Future LEP Arrangements report, </w:t>
      </w:r>
      <w:r w:rsidR="00C26439">
        <w:rPr>
          <w:sz w:val="24"/>
          <w:szCs w:val="24"/>
        </w:rPr>
        <w:t>one of the most important issues to consider</w:t>
      </w:r>
      <w:r w:rsidR="006308EB">
        <w:rPr>
          <w:sz w:val="24"/>
          <w:szCs w:val="24"/>
        </w:rPr>
        <w:t xml:space="preserve"> in the closure </w:t>
      </w:r>
      <w:r w:rsidR="00BE37A1">
        <w:rPr>
          <w:sz w:val="24"/>
          <w:szCs w:val="24"/>
        </w:rPr>
        <w:t xml:space="preserve">of the SSLEP is whether </w:t>
      </w:r>
      <w:r w:rsidR="00BE37A1">
        <w:rPr>
          <w:rFonts w:cstheme="minorHAnsi"/>
          <w:sz w:val="24"/>
          <w:szCs w:val="24"/>
        </w:rPr>
        <w:t xml:space="preserve">any </w:t>
      </w:r>
      <w:r w:rsidR="004003C9">
        <w:rPr>
          <w:rFonts w:cstheme="minorHAnsi"/>
          <w:sz w:val="24"/>
          <w:szCs w:val="24"/>
        </w:rPr>
        <w:t>action is needed to ensure that any Directors liabilities are addressed.</w:t>
      </w:r>
      <w:r w:rsidR="00535DE7">
        <w:rPr>
          <w:rFonts w:cstheme="minorHAnsi"/>
          <w:sz w:val="24"/>
          <w:szCs w:val="24"/>
        </w:rPr>
        <w:t xml:space="preserve">  </w:t>
      </w:r>
      <w:r w:rsidR="00535DE7">
        <w:rPr>
          <w:sz w:val="24"/>
          <w:szCs w:val="24"/>
        </w:rPr>
        <w:t xml:space="preserve">Legal advice </w:t>
      </w:r>
      <w:r w:rsidR="00F25A1C">
        <w:rPr>
          <w:sz w:val="24"/>
          <w:szCs w:val="24"/>
        </w:rPr>
        <w:t>provided by</w:t>
      </w:r>
      <w:r w:rsidR="00535DE7">
        <w:rPr>
          <w:sz w:val="24"/>
          <w:szCs w:val="24"/>
        </w:rPr>
        <w:t xml:space="preserve"> Bevan Brittan on this issue is set out below</w:t>
      </w:r>
      <w:r w:rsidR="00FF5AD9">
        <w:rPr>
          <w:sz w:val="24"/>
          <w:szCs w:val="24"/>
        </w:rPr>
        <w:t>:</w:t>
      </w:r>
    </w:p>
    <w:p w14:paraId="241E6C70" w14:textId="77777777" w:rsidR="00C440A2" w:rsidRPr="002F283E" w:rsidRDefault="00C440A2" w:rsidP="00C440A2">
      <w:pPr>
        <w:pStyle w:val="NoSpacing"/>
        <w:spacing w:line="276" w:lineRule="auto"/>
        <w:jc w:val="both"/>
        <w:rPr>
          <w:b/>
          <w:bCs/>
          <w:sz w:val="24"/>
          <w:szCs w:val="24"/>
        </w:rPr>
      </w:pPr>
    </w:p>
    <w:p w14:paraId="7898310E" w14:textId="20DD86A2" w:rsidR="0086232B" w:rsidRPr="00C440A2" w:rsidRDefault="00C440A2" w:rsidP="0086232B">
      <w:pPr>
        <w:pStyle w:val="NoSpacing"/>
        <w:numPr>
          <w:ilvl w:val="1"/>
          <w:numId w:val="10"/>
        </w:numPr>
        <w:spacing w:line="276" w:lineRule="auto"/>
        <w:ind w:left="567" w:hanging="567"/>
        <w:jc w:val="both"/>
        <w:rPr>
          <w:b/>
          <w:bCs/>
          <w:i/>
          <w:iCs/>
          <w:sz w:val="24"/>
          <w:szCs w:val="24"/>
        </w:rPr>
      </w:pPr>
      <w:r w:rsidRPr="00C440A2">
        <w:rPr>
          <w:rFonts w:cstheme="minorHAnsi"/>
          <w:i/>
          <w:iCs/>
          <w:sz w:val="24"/>
          <w:szCs w:val="24"/>
        </w:rPr>
        <w:t>“</w:t>
      </w:r>
      <w:r w:rsidR="0086232B" w:rsidRPr="00C440A2">
        <w:rPr>
          <w:rFonts w:cstheme="minorHAnsi"/>
          <w:i/>
          <w:iCs/>
          <w:sz w:val="24"/>
          <w:szCs w:val="24"/>
        </w:rPr>
        <w:t xml:space="preserve">In transferring the business and assets of SSLEP to Staffordshire County Council (SCC) to implement the LEP transition, the directors are exposed to a low degree of risk of challenge e.g. for breach of duty or effecting a transaction at an undervalue. Any damages awarded for successful claims for breach of duty are payable to the SSLEP, and with </w:t>
      </w:r>
      <w:proofErr w:type="gramStart"/>
      <w:r w:rsidR="0086232B" w:rsidRPr="00C440A2">
        <w:rPr>
          <w:rFonts w:cstheme="minorHAnsi"/>
          <w:i/>
          <w:iCs/>
          <w:sz w:val="24"/>
          <w:szCs w:val="24"/>
        </w:rPr>
        <w:t>all of</w:t>
      </w:r>
      <w:proofErr w:type="gramEnd"/>
      <w:r w:rsidR="0086232B" w:rsidRPr="00C440A2">
        <w:rPr>
          <w:rFonts w:cstheme="minorHAnsi"/>
          <w:i/>
          <w:iCs/>
          <w:sz w:val="24"/>
          <w:szCs w:val="24"/>
        </w:rPr>
        <w:t xml:space="preserve"> SSLEP’s assets being transferred to SCC, potential applicants are unlikely to incur the legal costs instigating any such action where SSLEP has not continuing business and assets will not be disbursed to any members (apart from SCC).  Challenges for breach of duty can be instigated by:</w:t>
      </w:r>
    </w:p>
    <w:p w14:paraId="019EE4B8" w14:textId="77777777" w:rsidR="0086232B" w:rsidRPr="00C440A2" w:rsidRDefault="0086232B" w:rsidP="0086232B">
      <w:pPr>
        <w:spacing w:after="0" w:line="276" w:lineRule="auto"/>
        <w:rPr>
          <w:rFonts w:cstheme="minorHAnsi"/>
          <w:i/>
          <w:iCs/>
          <w:sz w:val="24"/>
          <w:szCs w:val="24"/>
        </w:rPr>
      </w:pPr>
    </w:p>
    <w:p w14:paraId="47B9196C" w14:textId="77777777" w:rsidR="0086232B" w:rsidRPr="00C440A2" w:rsidRDefault="0086232B" w:rsidP="0086232B">
      <w:pPr>
        <w:pStyle w:val="ListParagraph"/>
        <w:numPr>
          <w:ilvl w:val="0"/>
          <w:numId w:val="30"/>
        </w:numPr>
        <w:spacing w:line="276" w:lineRule="auto"/>
        <w:ind w:left="1134" w:hanging="567"/>
        <w:contextualSpacing w:val="0"/>
        <w:rPr>
          <w:rFonts w:asciiTheme="minorHAnsi" w:eastAsia="Times New Roman" w:hAnsiTheme="minorHAnsi" w:cstheme="minorHAnsi"/>
          <w:i/>
          <w:iCs/>
          <w:szCs w:val="24"/>
        </w:rPr>
      </w:pPr>
      <w:r w:rsidRPr="00C440A2">
        <w:rPr>
          <w:rFonts w:asciiTheme="minorHAnsi" w:eastAsia="Times New Roman" w:hAnsiTheme="minorHAnsi" w:cstheme="minorHAnsi"/>
          <w:i/>
          <w:iCs/>
          <w:szCs w:val="24"/>
        </w:rPr>
        <w:t>the directors (who are unlikely to challenge one of their number</w:t>
      </w:r>
      <w:proofErr w:type="gramStart"/>
      <w:r w:rsidRPr="00C440A2">
        <w:rPr>
          <w:rFonts w:asciiTheme="minorHAnsi" w:eastAsia="Times New Roman" w:hAnsiTheme="minorHAnsi" w:cstheme="minorHAnsi"/>
          <w:i/>
          <w:iCs/>
          <w:szCs w:val="24"/>
        </w:rPr>
        <w:t>);</w:t>
      </w:r>
      <w:proofErr w:type="gramEnd"/>
    </w:p>
    <w:p w14:paraId="23110F04" w14:textId="77777777" w:rsidR="0086232B" w:rsidRPr="00C440A2" w:rsidRDefault="0086232B" w:rsidP="0086232B">
      <w:pPr>
        <w:pStyle w:val="ListParagraph"/>
        <w:numPr>
          <w:ilvl w:val="0"/>
          <w:numId w:val="30"/>
        </w:numPr>
        <w:spacing w:before="120" w:line="276" w:lineRule="auto"/>
        <w:ind w:left="1134" w:hanging="567"/>
        <w:contextualSpacing w:val="0"/>
        <w:rPr>
          <w:rFonts w:asciiTheme="minorHAnsi" w:eastAsia="Times New Roman" w:hAnsiTheme="minorHAnsi" w:cstheme="minorHAnsi"/>
          <w:i/>
          <w:iCs/>
          <w:szCs w:val="24"/>
        </w:rPr>
      </w:pPr>
      <w:r w:rsidRPr="00C440A2">
        <w:rPr>
          <w:rFonts w:asciiTheme="minorHAnsi" w:eastAsia="Times New Roman" w:hAnsiTheme="minorHAnsi" w:cstheme="minorHAnsi"/>
          <w:i/>
          <w:iCs/>
          <w:szCs w:val="24"/>
        </w:rPr>
        <w:t xml:space="preserve">by an insolvency practitioner (appointed following the insolvency of an entity, which will not be the case); or </w:t>
      </w:r>
    </w:p>
    <w:p w14:paraId="6079D608" w14:textId="77777777" w:rsidR="0086232B" w:rsidRPr="00C440A2" w:rsidRDefault="0086232B" w:rsidP="0086232B">
      <w:pPr>
        <w:pStyle w:val="ListParagraph"/>
        <w:numPr>
          <w:ilvl w:val="0"/>
          <w:numId w:val="30"/>
        </w:numPr>
        <w:spacing w:before="120" w:line="276" w:lineRule="auto"/>
        <w:ind w:left="1134" w:hanging="567"/>
        <w:contextualSpacing w:val="0"/>
        <w:rPr>
          <w:rFonts w:asciiTheme="minorHAnsi" w:eastAsia="Times New Roman" w:hAnsiTheme="minorHAnsi" w:cstheme="minorHAnsi"/>
          <w:i/>
          <w:iCs/>
          <w:szCs w:val="24"/>
        </w:rPr>
      </w:pPr>
      <w:r w:rsidRPr="00C440A2">
        <w:rPr>
          <w:rFonts w:asciiTheme="minorHAnsi" w:eastAsia="Times New Roman" w:hAnsiTheme="minorHAnsi" w:cstheme="minorHAnsi"/>
          <w:i/>
          <w:iCs/>
          <w:szCs w:val="24"/>
        </w:rPr>
        <w:lastRenderedPageBreak/>
        <w:t xml:space="preserve">in very limited circumstances and with the permission of the court, by the members (using a procedure which has various hurdles to be overcome by the applicant). </w:t>
      </w:r>
    </w:p>
    <w:p w14:paraId="3D14D8FB" w14:textId="77777777" w:rsidR="0086232B" w:rsidRPr="00C440A2" w:rsidRDefault="0086232B" w:rsidP="0086232B">
      <w:pPr>
        <w:spacing w:after="0" w:line="276" w:lineRule="auto"/>
        <w:rPr>
          <w:rFonts w:cstheme="minorHAnsi"/>
          <w:i/>
          <w:iCs/>
          <w:sz w:val="24"/>
          <w:szCs w:val="24"/>
        </w:rPr>
      </w:pPr>
      <w:r w:rsidRPr="00C440A2">
        <w:rPr>
          <w:rFonts w:cstheme="minorHAnsi"/>
          <w:i/>
          <w:iCs/>
          <w:sz w:val="24"/>
          <w:szCs w:val="24"/>
        </w:rPr>
        <w:t> </w:t>
      </w:r>
    </w:p>
    <w:p w14:paraId="63D4FA7C" w14:textId="77777777" w:rsidR="0086232B" w:rsidRPr="00C440A2" w:rsidRDefault="0086232B" w:rsidP="0086232B">
      <w:pPr>
        <w:pStyle w:val="NoSpacing"/>
        <w:numPr>
          <w:ilvl w:val="1"/>
          <w:numId w:val="10"/>
        </w:numPr>
        <w:spacing w:line="276" w:lineRule="auto"/>
        <w:ind w:left="567" w:hanging="567"/>
        <w:jc w:val="both"/>
        <w:rPr>
          <w:b/>
          <w:bCs/>
          <w:i/>
          <w:iCs/>
          <w:sz w:val="24"/>
          <w:szCs w:val="24"/>
        </w:rPr>
      </w:pPr>
      <w:r w:rsidRPr="00C440A2">
        <w:rPr>
          <w:rFonts w:cstheme="minorHAnsi"/>
          <w:i/>
          <w:iCs/>
          <w:sz w:val="24"/>
          <w:szCs w:val="24"/>
        </w:rPr>
        <w:t xml:space="preserve">Challenges for a transaction at a undervalue (which the transfer is unlikely to be because SCC is assuming </w:t>
      </w:r>
      <w:proofErr w:type="gramStart"/>
      <w:r w:rsidRPr="00C440A2">
        <w:rPr>
          <w:rFonts w:cstheme="minorHAnsi"/>
          <w:i/>
          <w:iCs/>
          <w:sz w:val="24"/>
          <w:szCs w:val="24"/>
        </w:rPr>
        <w:t>all of</w:t>
      </w:r>
      <w:proofErr w:type="gramEnd"/>
      <w:r w:rsidRPr="00C440A2">
        <w:rPr>
          <w:rFonts w:cstheme="minorHAnsi"/>
          <w:i/>
          <w:iCs/>
          <w:sz w:val="24"/>
          <w:szCs w:val="24"/>
        </w:rPr>
        <w:t xml:space="preserve"> SSLEP’s liabilities in consideration of the transfer of SSLEP’s assets), can be instigated by:</w:t>
      </w:r>
    </w:p>
    <w:p w14:paraId="7C9A5710" w14:textId="77777777" w:rsidR="0086232B" w:rsidRPr="00C440A2" w:rsidRDefault="0086232B" w:rsidP="0086232B">
      <w:pPr>
        <w:spacing w:after="0" w:line="276" w:lineRule="auto"/>
        <w:rPr>
          <w:rFonts w:cstheme="minorHAnsi"/>
          <w:i/>
          <w:iCs/>
          <w:sz w:val="24"/>
          <w:szCs w:val="24"/>
        </w:rPr>
      </w:pPr>
      <w:r w:rsidRPr="00C440A2">
        <w:rPr>
          <w:rFonts w:cstheme="minorHAnsi"/>
          <w:i/>
          <w:iCs/>
          <w:sz w:val="24"/>
          <w:szCs w:val="24"/>
        </w:rPr>
        <w:t> </w:t>
      </w:r>
    </w:p>
    <w:p w14:paraId="480AEFDB" w14:textId="77777777" w:rsidR="0086232B" w:rsidRPr="00C440A2" w:rsidRDefault="0086232B" w:rsidP="0086232B">
      <w:pPr>
        <w:pStyle w:val="ListParagraph"/>
        <w:numPr>
          <w:ilvl w:val="0"/>
          <w:numId w:val="31"/>
        </w:numPr>
        <w:spacing w:line="276" w:lineRule="auto"/>
        <w:ind w:left="1134" w:hanging="567"/>
        <w:contextualSpacing w:val="0"/>
        <w:rPr>
          <w:rFonts w:asciiTheme="minorHAnsi" w:eastAsia="Times New Roman" w:hAnsiTheme="minorHAnsi" w:cstheme="minorHAnsi"/>
          <w:i/>
          <w:iCs/>
          <w:szCs w:val="24"/>
        </w:rPr>
      </w:pPr>
      <w:r w:rsidRPr="00C440A2">
        <w:rPr>
          <w:rFonts w:asciiTheme="minorHAnsi" w:eastAsia="Times New Roman" w:hAnsiTheme="minorHAnsi" w:cstheme="minorHAnsi"/>
          <w:i/>
          <w:iCs/>
          <w:szCs w:val="24"/>
        </w:rPr>
        <w:t>an insolvency practitioner appointed in respect of SSLEP within 2 years of the transaction, if SSLEP was effectively insolvent at the time (assuming that SSLEP will be solvent at the time of the transfer, this will not apply</w:t>
      </w:r>
      <w:proofErr w:type="gramStart"/>
      <w:r w:rsidRPr="00C440A2">
        <w:rPr>
          <w:rFonts w:asciiTheme="minorHAnsi" w:eastAsia="Times New Roman" w:hAnsiTheme="minorHAnsi" w:cstheme="minorHAnsi"/>
          <w:i/>
          <w:iCs/>
          <w:szCs w:val="24"/>
        </w:rPr>
        <w:t>);</w:t>
      </w:r>
      <w:proofErr w:type="gramEnd"/>
      <w:r w:rsidRPr="00C440A2">
        <w:rPr>
          <w:rFonts w:asciiTheme="minorHAnsi" w:eastAsia="Times New Roman" w:hAnsiTheme="minorHAnsi" w:cstheme="minorHAnsi"/>
          <w:i/>
          <w:iCs/>
          <w:szCs w:val="24"/>
        </w:rPr>
        <w:t xml:space="preserve"> </w:t>
      </w:r>
    </w:p>
    <w:p w14:paraId="66A085E3" w14:textId="4FA2137B" w:rsidR="0086232B" w:rsidRPr="002B07B2" w:rsidRDefault="0086232B" w:rsidP="0086232B">
      <w:pPr>
        <w:pStyle w:val="ListParagraph"/>
        <w:numPr>
          <w:ilvl w:val="0"/>
          <w:numId w:val="31"/>
        </w:numPr>
        <w:spacing w:before="120" w:line="276" w:lineRule="auto"/>
        <w:ind w:left="1134" w:hanging="567"/>
        <w:contextualSpacing w:val="0"/>
        <w:rPr>
          <w:rFonts w:asciiTheme="minorHAnsi" w:eastAsia="Times New Roman" w:hAnsiTheme="minorHAnsi" w:cstheme="minorHAnsi"/>
          <w:szCs w:val="24"/>
        </w:rPr>
      </w:pPr>
      <w:r w:rsidRPr="00C440A2">
        <w:rPr>
          <w:rFonts w:asciiTheme="minorHAnsi" w:eastAsia="Times New Roman" w:hAnsiTheme="minorHAnsi" w:cstheme="minorHAnsi"/>
          <w:i/>
          <w:iCs/>
          <w:szCs w:val="24"/>
        </w:rPr>
        <w:t>a creditor prejudiced by the transaction, where the transaction aims to defrauding the creditor by putting assets beyond their reach; it is irrelevant whether SSLEP is solvent or insolvent at the time (this is not the intention, particularly with SCC agreeing to pick up responsibility for any liabilities).</w:t>
      </w:r>
      <w:r w:rsidR="00C440A2" w:rsidRPr="00C440A2">
        <w:rPr>
          <w:rFonts w:asciiTheme="minorHAnsi" w:eastAsia="Times New Roman" w:hAnsiTheme="minorHAnsi" w:cstheme="minorHAnsi"/>
          <w:i/>
          <w:iCs/>
          <w:szCs w:val="24"/>
        </w:rPr>
        <w:t>”</w:t>
      </w:r>
      <w:r w:rsidRPr="002B07B2">
        <w:rPr>
          <w:rFonts w:asciiTheme="minorHAnsi" w:eastAsia="Times New Roman" w:hAnsiTheme="minorHAnsi" w:cstheme="minorHAnsi"/>
          <w:szCs w:val="24"/>
        </w:rPr>
        <w:t xml:space="preserve"> </w:t>
      </w:r>
    </w:p>
    <w:p w14:paraId="034B331D" w14:textId="77777777" w:rsidR="00C738D9" w:rsidRPr="00C440A2" w:rsidRDefault="0086232B" w:rsidP="00C738D9">
      <w:pPr>
        <w:spacing w:after="0" w:line="276" w:lineRule="auto"/>
        <w:rPr>
          <w:rFonts w:cstheme="minorHAnsi"/>
          <w:i/>
          <w:iCs/>
          <w:sz w:val="24"/>
          <w:szCs w:val="24"/>
        </w:rPr>
      </w:pPr>
      <w:r w:rsidRPr="002B07B2">
        <w:rPr>
          <w:rFonts w:cstheme="minorHAnsi"/>
          <w:sz w:val="24"/>
          <w:szCs w:val="24"/>
        </w:rPr>
        <w:t> </w:t>
      </w:r>
    </w:p>
    <w:p w14:paraId="373D53CB" w14:textId="260C5EF0" w:rsidR="0086232B" w:rsidRPr="00FF5AD9" w:rsidRDefault="008A5590" w:rsidP="0086232B">
      <w:pPr>
        <w:pStyle w:val="NoSpacing"/>
        <w:numPr>
          <w:ilvl w:val="1"/>
          <w:numId w:val="10"/>
        </w:numPr>
        <w:spacing w:line="276" w:lineRule="auto"/>
        <w:ind w:left="567" w:hanging="567"/>
        <w:jc w:val="both"/>
        <w:rPr>
          <w:b/>
          <w:bCs/>
          <w:sz w:val="24"/>
          <w:szCs w:val="24"/>
        </w:rPr>
      </w:pPr>
      <w:r>
        <w:rPr>
          <w:rFonts w:cstheme="minorHAnsi"/>
          <w:sz w:val="24"/>
          <w:szCs w:val="24"/>
        </w:rPr>
        <w:t>Essentially this advice</w:t>
      </w:r>
      <w:r w:rsidR="00F25A1C">
        <w:rPr>
          <w:rFonts w:cstheme="minorHAnsi"/>
          <w:sz w:val="24"/>
          <w:szCs w:val="24"/>
        </w:rPr>
        <w:t xml:space="preserve"> states that there is </w:t>
      </w:r>
      <w:r w:rsidR="008F7CE0">
        <w:rPr>
          <w:rFonts w:cstheme="minorHAnsi"/>
          <w:sz w:val="24"/>
          <w:szCs w:val="24"/>
        </w:rPr>
        <w:t xml:space="preserve">no way a claim can be made against </w:t>
      </w:r>
      <w:r w:rsidR="00E07C7F">
        <w:rPr>
          <w:rFonts w:cstheme="minorHAnsi"/>
          <w:sz w:val="24"/>
          <w:szCs w:val="24"/>
        </w:rPr>
        <w:t>the Directors of the LEP with all assets and liabilities to be transferred to the Accountable Body</w:t>
      </w:r>
      <w:r w:rsidR="0017701C">
        <w:rPr>
          <w:rFonts w:cstheme="minorHAnsi"/>
          <w:sz w:val="24"/>
          <w:szCs w:val="24"/>
        </w:rPr>
        <w:t>,</w:t>
      </w:r>
      <w:r w:rsidR="00E07C7F">
        <w:rPr>
          <w:rFonts w:cstheme="minorHAnsi"/>
          <w:sz w:val="24"/>
          <w:szCs w:val="24"/>
        </w:rPr>
        <w:t xml:space="preserve"> </w:t>
      </w:r>
      <w:r w:rsidR="00797E5F">
        <w:rPr>
          <w:rFonts w:cstheme="minorHAnsi"/>
          <w:sz w:val="24"/>
          <w:szCs w:val="24"/>
        </w:rPr>
        <w:t>as recommended within the Financial Reserves report.</w:t>
      </w:r>
      <w:r w:rsidR="000E56D1">
        <w:rPr>
          <w:rFonts w:cstheme="minorHAnsi"/>
          <w:sz w:val="24"/>
          <w:szCs w:val="24"/>
        </w:rPr>
        <w:t xml:space="preserve">  No further action is therefore required with regards to </w:t>
      </w:r>
      <w:r w:rsidR="004023CC">
        <w:rPr>
          <w:rFonts w:cstheme="minorHAnsi"/>
          <w:sz w:val="24"/>
          <w:szCs w:val="24"/>
        </w:rPr>
        <w:t>Director’s</w:t>
      </w:r>
      <w:r w:rsidR="000E56D1">
        <w:rPr>
          <w:rFonts w:cstheme="minorHAnsi"/>
          <w:sz w:val="24"/>
          <w:szCs w:val="24"/>
        </w:rPr>
        <w:t xml:space="preserve"> </w:t>
      </w:r>
      <w:proofErr w:type="gramStart"/>
      <w:r w:rsidR="000E56D1">
        <w:rPr>
          <w:rFonts w:cstheme="minorHAnsi"/>
          <w:sz w:val="24"/>
          <w:szCs w:val="24"/>
        </w:rPr>
        <w:t>liabilities</w:t>
      </w:r>
      <w:proofErr w:type="gramEnd"/>
      <w:r w:rsidR="000E56D1">
        <w:rPr>
          <w:rFonts w:cstheme="minorHAnsi"/>
          <w:sz w:val="24"/>
          <w:szCs w:val="24"/>
        </w:rPr>
        <w:t xml:space="preserve"> and this can simply be handled through the closure of the company and transfer o</w:t>
      </w:r>
      <w:r w:rsidR="004023CC">
        <w:rPr>
          <w:rFonts w:cstheme="minorHAnsi"/>
          <w:sz w:val="24"/>
          <w:szCs w:val="24"/>
        </w:rPr>
        <w:t xml:space="preserve">f </w:t>
      </w:r>
      <w:r w:rsidR="00343A27">
        <w:rPr>
          <w:rFonts w:cstheme="minorHAnsi"/>
          <w:sz w:val="24"/>
          <w:szCs w:val="24"/>
        </w:rPr>
        <w:t>the assets and liabilities to SCC.</w:t>
      </w:r>
    </w:p>
    <w:p w14:paraId="65F37E38" w14:textId="46C47607" w:rsidR="00CD31EA" w:rsidRPr="002B07B2" w:rsidRDefault="00CD31EA" w:rsidP="002B07B2">
      <w:pPr>
        <w:spacing w:after="0" w:line="276" w:lineRule="auto"/>
        <w:rPr>
          <w:rFonts w:cstheme="minorHAnsi"/>
          <w:sz w:val="24"/>
          <w:szCs w:val="24"/>
        </w:rPr>
      </w:pPr>
    </w:p>
    <w:p w14:paraId="33259EBB" w14:textId="76065B10" w:rsidR="002C4AF0" w:rsidRPr="00A600B0" w:rsidRDefault="00A600B0" w:rsidP="002B07B2">
      <w:pPr>
        <w:pStyle w:val="NoSpacing"/>
        <w:numPr>
          <w:ilvl w:val="0"/>
          <w:numId w:val="10"/>
        </w:numPr>
        <w:spacing w:line="276" w:lineRule="auto"/>
        <w:ind w:left="567" w:hanging="567"/>
        <w:jc w:val="both"/>
        <w:rPr>
          <w:b/>
          <w:bCs/>
          <w:sz w:val="24"/>
          <w:szCs w:val="24"/>
        </w:rPr>
      </w:pPr>
      <w:r w:rsidRPr="00A600B0">
        <w:rPr>
          <w:b/>
          <w:bCs/>
          <w:sz w:val="24"/>
          <w:szCs w:val="24"/>
        </w:rPr>
        <w:t>Closure Process</w:t>
      </w:r>
    </w:p>
    <w:p w14:paraId="454744A6" w14:textId="77777777" w:rsidR="002C4AF0" w:rsidRPr="00E52291" w:rsidRDefault="002C4AF0" w:rsidP="002B07B2">
      <w:pPr>
        <w:pStyle w:val="NoSpacing"/>
        <w:spacing w:line="276" w:lineRule="auto"/>
        <w:ind w:left="567" w:hanging="567"/>
        <w:jc w:val="both"/>
        <w:rPr>
          <w:sz w:val="24"/>
          <w:szCs w:val="24"/>
        </w:rPr>
      </w:pPr>
    </w:p>
    <w:p w14:paraId="5A21708A" w14:textId="3988800E" w:rsidR="002C4AF0" w:rsidRPr="00E52291" w:rsidRDefault="0093134C" w:rsidP="002B07B2">
      <w:pPr>
        <w:pStyle w:val="NoSpacing"/>
        <w:numPr>
          <w:ilvl w:val="1"/>
          <w:numId w:val="10"/>
        </w:numPr>
        <w:spacing w:line="276" w:lineRule="auto"/>
        <w:ind w:left="567" w:hanging="567"/>
        <w:jc w:val="both"/>
        <w:rPr>
          <w:sz w:val="24"/>
          <w:szCs w:val="24"/>
        </w:rPr>
      </w:pPr>
      <w:r>
        <w:rPr>
          <w:sz w:val="24"/>
          <w:szCs w:val="24"/>
        </w:rPr>
        <w:t>The Executive Board has already agreed in principle to the closure of the SSLEP</w:t>
      </w:r>
      <w:r w:rsidR="00E15D69">
        <w:rPr>
          <w:sz w:val="24"/>
          <w:szCs w:val="24"/>
        </w:rPr>
        <w:t xml:space="preserve"> and </w:t>
      </w:r>
      <w:r w:rsidR="00D7595C">
        <w:rPr>
          <w:sz w:val="24"/>
          <w:szCs w:val="24"/>
        </w:rPr>
        <w:t>as set out</w:t>
      </w:r>
      <w:r w:rsidR="00E15D69">
        <w:rPr>
          <w:sz w:val="24"/>
          <w:szCs w:val="24"/>
        </w:rPr>
        <w:t xml:space="preserve"> with</w:t>
      </w:r>
      <w:r w:rsidR="00D7595C">
        <w:rPr>
          <w:sz w:val="24"/>
          <w:szCs w:val="24"/>
        </w:rPr>
        <w:t>in</w:t>
      </w:r>
      <w:r w:rsidR="00E15D69">
        <w:rPr>
          <w:sz w:val="24"/>
          <w:szCs w:val="24"/>
        </w:rPr>
        <w:t xml:space="preserve"> the legal advice, it </w:t>
      </w:r>
      <w:r w:rsidR="00C5117C">
        <w:rPr>
          <w:sz w:val="24"/>
          <w:szCs w:val="24"/>
        </w:rPr>
        <w:t xml:space="preserve">needs to be decided </w:t>
      </w:r>
      <w:r w:rsidR="00A90D23">
        <w:rPr>
          <w:sz w:val="24"/>
          <w:szCs w:val="24"/>
        </w:rPr>
        <w:t>as to whether this is done by the company being either:</w:t>
      </w:r>
    </w:p>
    <w:p w14:paraId="4FE74EF9" w14:textId="77777777" w:rsidR="002C4AF0" w:rsidRPr="00E52291" w:rsidRDefault="002C4AF0" w:rsidP="002B07B2">
      <w:pPr>
        <w:pStyle w:val="NoSpacing"/>
        <w:spacing w:line="276" w:lineRule="auto"/>
        <w:ind w:left="567" w:hanging="567"/>
        <w:jc w:val="both"/>
        <w:rPr>
          <w:sz w:val="24"/>
          <w:szCs w:val="24"/>
        </w:rPr>
      </w:pPr>
    </w:p>
    <w:p w14:paraId="77CD956C" w14:textId="2C5117C4" w:rsidR="002C4AF0" w:rsidRPr="00E52291" w:rsidRDefault="00A90D23" w:rsidP="002B07B2">
      <w:pPr>
        <w:pStyle w:val="NoSpacing"/>
        <w:numPr>
          <w:ilvl w:val="0"/>
          <w:numId w:val="29"/>
        </w:numPr>
        <w:spacing w:line="276" w:lineRule="auto"/>
        <w:ind w:left="1134" w:hanging="567"/>
        <w:jc w:val="both"/>
        <w:rPr>
          <w:sz w:val="24"/>
          <w:szCs w:val="24"/>
        </w:rPr>
      </w:pPr>
      <w:r>
        <w:rPr>
          <w:sz w:val="24"/>
          <w:szCs w:val="24"/>
        </w:rPr>
        <w:t>V</w:t>
      </w:r>
      <w:r w:rsidR="002C4AF0" w:rsidRPr="00E52291">
        <w:rPr>
          <w:sz w:val="24"/>
          <w:szCs w:val="24"/>
        </w:rPr>
        <w:t xml:space="preserve">oluntarily dissolved (an administrative process), instigated by the </w:t>
      </w:r>
      <w:r w:rsidR="00904548">
        <w:rPr>
          <w:sz w:val="24"/>
          <w:szCs w:val="24"/>
        </w:rPr>
        <w:t>SS</w:t>
      </w:r>
      <w:r w:rsidR="002C4AF0" w:rsidRPr="00E52291">
        <w:rPr>
          <w:sz w:val="24"/>
          <w:szCs w:val="24"/>
        </w:rPr>
        <w:t xml:space="preserve">LEP’s </w:t>
      </w:r>
      <w:r w:rsidR="00904548">
        <w:rPr>
          <w:sz w:val="24"/>
          <w:szCs w:val="24"/>
        </w:rPr>
        <w:t>D</w:t>
      </w:r>
      <w:r w:rsidR="002C4AF0" w:rsidRPr="00E52291">
        <w:rPr>
          <w:sz w:val="24"/>
          <w:szCs w:val="24"/>
        </w:rPr>
        <w:t>irectors; or</w:t>
      </w:r>
    </w:p>
    <w:p w14:paraId="24EA50D0" w14:textId="2E5F544E" w:rsidR="002C4AF0" w:rsidRPr="00E52291" w:rsidRDefault="00A90D23" w:rsidP="002B07B2">
      <w:pPr>
        <w:pStyle w:val="NoSpacing"/>
        <w:numPr>
          <w:ilvl w:val="0"/>
          <w:numId w:val="29"/>
        </w:numPr>
        <w:spacing w:before="120" w:line="276" w:lineRule="auto"/>
        <w:ind w:left="1134" w:hanging="567"/>
        <w:jc w:val="both"/>
        <w:rPr>
          <w:sz w:val="24"/>
          <w:szCs w:val="24"/>
        </w:rPr>
      </w:pPr>
      <w:r>
        <w:rPr>
          <w:sz w:val="24"/>
          <w:szCs w:val="24"/>
        </w:rPr>
        <w:t>W</w:t>
      </w:r>
      <w:r w:rsidR="002C4AF0" w:rsidRPr="00E52291">
        <w:rPr>
          <w:sz w:val="24"/>
          <w:szCs w:val="24"/>
        </w:rPr>
        <w:t>ound up (through a formal liquidation)</w:t>
      </w:r>
      <w:r>
        <w:rPr>
          <w:sz w:val="24"/>
          <w:szCs w:val="24"/>
        </w:rPr>
        <w:t>.</w:t>
      </w:r>
    </w:p>
    <w:p w14:paraId="4C2B09B6" w14:textId="77777777" w:rsidR="002C4AF0" w:rsidRPr="00E52291" w:rsidRDefault="002C4AF0" w:rsidP="002B07B2">
      <w:pPr>
        <w:pStyle w:val="NoSpacing"/>
        <w:spacing w:line="276" w:lineRule="auto"/>
        <w:ind w:left="567"/>
        <w:jc w:val="both"/>
        <w:rPr>
          <w:sz w:val="24"/>
          <w:szCs w:val="24"/>
        </w:rPr>
      </w:pPr>
    </w:p>
    <w:p w14:paraId="502CECA5" w14:textId="4B42DAAA" w:rsidR="003B24C7" w:rsidRDefault="00A90D23" w:rsidP="002B07B2">
      <w:pPr>
        <w:pStyle w:val="NoSpacing"/>
        <w:numPr>
          <w:ilvl w:val="1"/>
          <w:numId w:val="10"/>
        </w:numPr>
        <w:spacing w:line="276" w:lineRule="auto"/>
        <w:ind w:left="567" w:hanging="567"/>
        <w:jc w:val="both"/>
        <w:rPr>
          <w:sz w:val="24"/>
          <w:szCs w:val="24"/>
        </w:rPr>
      </w:pPr>
      <w:r>
        <w:rPr>
          <w:sz w:val="24"/>
          <w:szCs w:val="24"/>
        </w:rPr>
        <w:t>The main</w:t>
      </w:r>
      <w:r w:rsidR="00904548">
        <w:rPr>
          <w:sz w:val="24"/>
          <w:szCs w:val="24"/>
        </w:rPr>
        <w:t xml:space="preserve"> creditor of the SSLEP is SCC</w:t>
      </w:r>
      <w:r w:rsidR="00675CEB">
        <w:rPr>
          <w:sz w:val="24"/>
          <w:szCs w:val="24"/>
        </w:rPr>
        <w:t xml:space="preserve"> whilst other </w:t>
      </w:r>
      <w:r w:rsidR="002C4AF0" w:rsidRPr="00E52291">
        <w:rPr>
          <w:sz w:val="24"/>
          <w:szCs w:val="24"/>
        </w:rPr>
        <w:t>creditors are minimal</w:t>
      </w:r>
      <w:r w:rsidR="00675CEB">
        <w:rPr>
          <w:sz w:val="24"/>
          <w:szCs w:val="24"/>
        </w:rPr>
        <w:t xml:space="preserve">.  It </w:t>
      </w:r>
      <w:r w:rsidR="008A79C8">
        <w:rPr>
          <w:sz w:val="24"/>
          <w:szCs w:val="24"/>
        </w:rPr>
        <w:t xml:space="preserve">is therefore </w:t>
      </w:r>
      <w:r w:rsidR="002C4AF0" w:rsidRPr="00E52291">
        <w:rPr>
          <w:sz w:val="24"/>
          <w:szCs w:val="24"/>
        </w:rPr>
        <w:t>recommend</w:t>
      </w:r>
      <w:r w:rsidR="008A79C8">
        <w:rPr>
          <w:sz w:val="24"/>
          <w:szCs w:val="24"/>
        </w:rPr>
        <w:t>ed</w:t>
      </w:r>
      <w:r w:rsidR="002C4AF0" w:rsidRPr="00E52291">
        <w:rPr>
          <w:sz w:val="24"/>
          <w:szCs w:val="24"/>
        </w:rPr>
        <w:t xml:space="preserve"> the </w:t>
      </w:r>
      <w:r w:rsidR="008A79C8">
        <w:rPr>
          <w:sz w:val="24"/>
          <w:szCs w:val="24"/>
        </w:rPr>
        <w:t>SS</w:t>
      </w:r>
      <w:r w:rsidR="002C4AF0" w:rsidRPr="00E52291">
        <w:rPr>
          <w:sz w:val="24"/>
          <w:szCs w:val="24"/>
        </w:rPr>
        <w:t xml:space="preserve">LEP be dissolved using the voluntary dissolution process because </w:t>
      </w:r>
      <w:r w:rsidR="00AE2414">
        <w:rPr>
          <w:sz w:val="24"/>
          <w:szCs w:val="24"/>
        </w:rPr>
        <w:t>it is deemed</w:t>
      </w:r>
      <w:r w:rsidR="008A79C8">
        <w:rPr>
          <w:sz w:val="24"/>
          <w:szCs w:val="24"/>
        </w:rPr>
        <w:t xml:space="preserve"> highly </w:t>
      </w:r>
      <w:r w:rsidR="002C4AF0" w:rsidRPr="00E52291">
        <w:rPr>
          <w:sz w:val="24"/>
          <w:szCs w:val="24"/>
        </w:rPr>
        <w:t xml:space="preserve">unlikely </w:t>
      </w:r>
      <w:r w:rsidR="00AE2414">
        <w:rPr>
          <w:sz w:val="24"/>
          <w:szCs w:val="24"/>
        </w:rPr>
        <w:t>that this will</w:t>
      </w:r>
      <w:r w:rsidR="002C4AF0" w:rsidRPr="00E52291">
        <w:rPr>
          <w:sz w:val="24"/>
          <w:szCs w:val="24"/>
        </w:rPr>
        <w:t xml:space="preserve"> be challenged by creditors</w:t>
      </w:r>
      <w:r w:rsidR="00673CC5">
        <w:rPr>
          <w:sz w:val="24"/>
          <w:szCs w:val="24"/>
        </w:rPr>
        <w:t xml:space="preserve"> and</w:t>
      </w:r>
      <w:r w:rsidR="00B444D6">
        <w:rPr>
          <w:sz w:val="24"/>
          <w:szCs w:val="24"/>
        </w:rPr>
        <w:t xml:space="preserve"> </w:t>
      </w:r>
      <w:r w:rsidR="002C4AF0" w:rsidRPr="00E52291">
        <w:rPr>
          <w:sz w:val="24"/>
          <w:szCs w:val="24"/>
        </w:rPr>
        <w:t xml:space="preserve">neither the </w:t>
      </w:r>
      <w:r w:rsidR="00B444D6">
        <w:rPr>
          <w:sz w:val="24"/>
          <w:szCs w:val="24"/>
        </w:rPr>
        <w:t>SS</w:t>
      </w:r>
      <w:r w:rsidR="002C4AF0" w:rsidRPr="00E52291">
        <w:rPr>
          <w:sz w:val="24"/>
          <w:szCs w:val="24"/>
        </w:rPr>
        <w:t>LEP nor SCC requires the legal certainty that a formal liquidation would provide</w:t>
      </w:r>
      <w:r w:rsidR="0023591F">
        <w:rPr>
          <w:sz w:val="24"/>
          <w:szCs w:val="24"/>
        </w:rPr>
        <w:t>.  T</w:t>
      </w:r>
      <w:r w:rsidR="00F7553F">
        <w:rPr>
          <w:sz w:val="24"/>
          <w:szCs w:val="24"/>
        </w:rPr>
        <w:t>his</w:t>
      </w:r>
      <w:r w:rsidR="002C4AF0" w:rsidRPr="00E52291">
        <w:rPr>
          <w:sz w:val="24"/>
          <w:szCs w:val="24"/>
        </w:rPr>
        <w:t xml:space="preserve"> is also </w:t>
      </w:r>
      <w:r w:rsidR="0023591F">
        <w:rPr>
          <w:sz w:val="24"/>
          <w:szCs w:val="24"/>
        </w:rPr>
        <w:t xml:space="preserve">a far </w:t>
      </w:r>
      <w:r w:rsidR="002C4AF0" w:rsidRPr="00E52291">
        <w:rPr>
          <w:sz w:val="24"/>
          <w:szCs w:val="24"/>
        </w:rPr>
        <w:t xml:space="preserve">more </w:t>
      </w:r>
      <w:r w:rsidR="00932245" w:rsidRPr="00E52291">
        <w:rPr>
          <w:sz w:val="24"/>
          <w:szCs w:val="24"/>
        </w:rPr>
        <w:t>cost-effective</w:t>
      </w:r>
      <w:r w:rsidR="002C4AF0" w:rsidRPr="00E52291">
        <w:rPr>
          <w:sz w:val="24"/>
          <w:szCs w:val="24"/>
        </w:rPr>
        <w:t xml:space="preserve"> option</w:t>
      </w:r>
      <w:r w:rsidR="0023591F">
        <w:rPr>
          <w:sz w:val="24"/>
          <w:szCs w:val="24"/>
        </w:rPr>
        <w:t xml:space="preserve"> with the expense of </w:t>
      </w:r>
      <w:r w:rsidR="00450567">
        <w:rPr>
          <w:sz w:val="24"/>
          <w:szCs w:val="24"/>
        </w:rPr>
        <w:t>formal liquidation being unwarranted.</w:t>
      </w:r>
    </w:p>
    <w:p w14:paraId="38565D8E" w14:textId="7B16A298" w:rsidR="00335094" w:rsidRDefault="00335094" w:rsidP="002B07B2">
      <w:pPr>
        <w:pStyle w:val="NoSpacing"/>
        <w:spacing w:line="276" w:lineRule="auto"/>
        <w:ind w:left="567"/>
        <w:jc w:val="both"/>
        <w:rPr>
          <w:sz w:val="24"/>
          <w:szCs w:val="24"/>
        </w:rPr>
      </w:pPr>
    </w:p>
    <w:p w14:paraId="36FCE81F" w14:textId="5C382688" w:rsidR="00335094" w:rsidRPr="00BA773C" w:rsidRDefault="009E7B06" w:rsidP="002B07B2">
      <w:pPr>
        <w:pStyle w:val="NoSpacing"/>
        <w:numPr>
          <w:ilvl w:val="1"/>
          <w:numId w:val="10"/>
        </w:numPr>
        <w:spacing w:line="276" w:lineRule="auto"/>
        <w:ind w:left="567" w:hanging="567"/>
        <w:jc w:val="both"/>
        <w:rPr>
          <w:sz w:val="24"/>
          <w:szCs w:val="24"/>
        </w:rPr>
      </w:pPr>
      <w:r w:rsidRPr="00BA773C">
        <w:rPr>
          <w:sz w:val="24"/>
          <w:szCs w:val="24"/>
        </w:rPr>
        <w:lastRenderedPageBreak/>
        <w:t>To voluntar</w:t>
      </w:r>
      <w:r w:rsidR="003B0944" w:rsidRPr="00BA773C">
        <w:rPr>
          <w:sz w:val="24"/>
          <w:szCs w:val="24"/>
        </w:rPr>
        <w:t>il</w:t>
      </w:r>
      <w:r w:rsidRPr="00BA773C">
        <w:rPr>
          <w:sz w:val="24"/>
          <w:szCs w:val="24"/>
        </w:rPr>
        <w:t xml:space="preserve">y </w:t>
      </w:r>
      <w:r w:rsidR="003B0944" w:rsidRPr="00BA773C">
        <w:rPr>
          <w:sz w:val="24"/>
          <w:szCs w:val="24"/>
        </w:rPr>
        <w:t>dissolve the SSLEP</w:t>
      </w:r>
      <w:r w:rsidR="007E01FD" w:rsidRPr="00BA773C">
        <w:rPr>
          <w:sz w:val="24"/>
          <w:szCs w:val="24"/>
        </w:rPr>
        <w:t xml:space="preserve">, the company </w:t>
      </w:r>
      <w:r w:rsidR="003A7DAD" w:rsidRPr="00BA773C">
        <w:rPr>
          <w:sz w:val="24"/>
          <w:szCs w:val="24"/>
        </w:rPr>
        <w:t>must</w:t>
      </w:r>
      <w:r w:rsidR="007E01FD" w:rsidRPr="00BA773C">
        <w:rPr>
          <w:sz w:val="24"/>
          <w:szCs w:val="24"/>
        </w:rPr>
        <w:t xml:space="preserve"> </w:t>
      </w:r>
      <w:r w:rsidR="00BF3725" w:rsidRPr="00BA773C">
        <w:rPr>
          <w:sz w:val="24"/>
          <w:szCs w:val="24"/>
        </w:rPr>
        <w:t>not</w:t>
      </w:r>
      <w:r w:rsidR="007C6E14" w:rsidRPr="00BA773C">
        <w:rPr>
          <w:sz w:val="24"/>
          <w:szCs w:val="24"/>
        </w:rPr>
        <w:t xml:space="preserve"> </w:t>
      </w:r>
      <w:r w:rsidR="003A7DAD" w:rsidRPr="00BA773C">
        <w:rPr>
          <w:sz w:val="24"/>
          <w:szCs w:val="24"/>
        </w:rPr>
        <w:t xml:space="preserve">have </w:t>
      </w:r>
      <w:r w:rsidR="007C6E14" w:rsidRPr="00BA773C">
        <w:rPr>
          <w:sz w:val="24"/>
          <w:szCs w:val="24"/>
        </w:rPr>
        <w:t xml:space="preserve">traded in the previous </w:t>
      </w:r>
      <w:r w:rsidR="00C72DC9" w:rsidRPr="00BA773C">
        <w:rPr>
          <w:sz w:val="24"/>
          <w:szCs w:val="24"/>
        </w:rPr>
        <w:t xml:space="preserve">three </w:t>
      </w:r>
      <w:r w:rsidR="007C6E14" w:rsidRPr="00BA773C">
        <w:rPr>
          <w:sz w:val="24"/>
          <w:szCs w:val="24"/>
        </w:rPr>
        <w:t xml:space="preserve">months, after which at least half of the Directors need to sign </w:t>
      </w:r>
      <w:r w:rsidR="00FD06C9" w:rsidRPr="00BA773C">
        <w:rPr>
          <w:sz w:val="24"/>
          <w:szCs w:val="24"/>
        </w:rPr>
        <w:t>the application to strike off the company.</w:t>
      </w:r>
      <w:r w:rsidR="00FA6BF9" w:rsidRPr="00BA773C">
        <w:rPr>
          <w:sz w:val="24"/>
          <w:szCs w:val="24"/>
        </w:rPr>
        <w:t xml:space="preserve">  </w:t>
      </w:r>
      <w:r w:rsidR="00C03972">
        <w:rPr>
          <w:sz w:val="24"/>
          <w:szCs w:val="24"/>
        </w:rPr>
        <w:t>While</w:t>
      </w:r>
      <w:r w:rsidR="00A50DE8" w:rsidRPr="00BA773C">
        <w:rPr>
          <w:sz w:val="24"/>
          <w:szCs w:val="24"/>
        </w:rPr>
        <w:t xml:space="preserve"> </w:t>
      </w:r>
      <w:r w:rsidR="002979CD" w:rsidRPr="00BA773C">
        <w:rPr>
          <w:sz w:val="24"/>
          <w:szCs w:val="24"/>
        </w:rPr>
        <w:t xml:space="preserve">the Accountable Body has always submitted </w:t>
      </w:r>
      <w:r w:rsidR="00213C88" w:rsidRPr="00BA773C">
        <w:rPr>
          <w:sz w:val="24"/>
          <w:szCs w:val="24"/>
        </w:rPr>
        <w:t>a set of dormant accounts for the SSLEP</w:t>
      </w:r>
      <w:r w:rsidR="00C03972">
        <w:rPr>
          <w:sz w:val="24"/>
          <w:szCs w:val="24"/>
        </w:rPr>
        <w:t xml:space="preserve">, legal advice received suggests to </w:t>
      </w:r>
      <w:r w:rsidR="003F0C86">
        <w:rPr>
          <w:sz w:val="24"/>
          <w:szCs w:val="24"/>
        </w:rPr>
        <w:t>still maintain a 3</w:t>
      </w:r>
      <w:r w:rsidR="009079F2">
        <w:rPr>
          <w:sz w:val="24"/>
          <w:szCs w:val="24"/>
        </w:rPr>
        <w:t>-</w:t>
      </w:r>
      <w:r w:rsidR="003F0C86">
        <w:rPr>
          <w:sz w:val="24"/>
          <w:szCs w:val="24"/>
        </w:rPr>
        <w:t>month period following the formal ceasing of activity on 31</w:t>
      </w:r>
      <w:r w:rsidR="003F0C86" w:rsidRPr="003F0C86">
        <w:rPr>
          <w:sz w:val="24"/>
          <w:szCs w:val="24"/>
          <w:vertAlign w:val="superscript"/>
        </w:rPr>
        <w:t>st</w:t>
      </w:r>
      <w:r w:rsidR="003F0C86">
        <w:rPr>
          <w:sz w:val="24"/>
          <w:szCs w:val="24"/>
        </w:rPr>
        <w:t xml:space="preserve"> March</w:t>
      </w:r>
      <w:r w:rsidR="006608DE">
        <w:rPr>
          <w:sz w:val="24"/>
          <w:szCs w:val="24"/>
        </w:rPr>
        <w:t xml:space="preserve"> 2024</w:t>
      </w:r>
      <w:r w:rsidR="003F0C86">
        <w:rPr>
          <w:sz w:val="24"/>
          <w:szCs w:val="24"/>
        </w:rPr>
        <w:t xml:space="preserve"> before formal closure is submitted.</w:t>
      </w:r>
      <w:r w:rsidR="003E0881">
        <w:rPr>
          <w:sz w:val="24"/>
          <w:szCs w:val="24"/>
        </w:rPr>
        <w:t xml:space="preserve">  It is therefore recommended that</w:t>
      </w:r>
      <w:r w:rsidR="00E764E2">
        <w:rPr>
          <w:sz w:val="24"/>
          <w:szCs w:val="24"/>
        </w:rPr>
        <w:t xml:space="preserve"> the Executive Board agrees to the final closure of the company</w:t>
      </w:r>
      <w:r w:rsidR="00B54ECA">
        <w:rPr>
          <w:sz w:val="24"/>
          <w:szCs w:val="24"/>
        </w:rPr>
        <w:t xml:space="preserve"> </w:t>
      </w:r>
      <w:r w:rsidR="004A347B">
        <w:rPr>
          <w:sz w:val="24"/>
          <w:szCs w:val="24"/>
        </w:rPr>
        <w:t xml:space="preserve">and each Director signs the striking off application form (appendix </w:t>
      </w:r>
      <w:r w:rsidR="00877FDB">
        <w:rPr>
          <w:sz w:val="24"/>
          <w:szCs w:val="24"/>
        </w:rPr>
        <w:t>2</w:t>
      </w:r>
      <w:r w:rsidR="004A347B">
        <w:rPr>
          <w:sz w:val="24"/>
          <w:szCs w:val="24"/>
        </w:rPr>
        <w:t xml:space="preserve">) to formally resign </w:t>
      </w:r>
      <w:r w:rsidR="00E74CBC">
        <w:rPr>
          <w:sz w:val="24"/>
          <w:szCs w:val="24"/>
        </w:rPr>
        <w:t>from the SSLEP.</w:t>
      </w:r>
    </w:p>
    <w:p w14:paraId="7A8840F0" w14:textId="77777777" w:rsidR="00932245" w:rsidRDefault="00932245" w:rsidP="002B07B2">
      <w:pPr>
        <w:pStyle w:val="NoSpacing"/>
        <w:spacing w:line="276" w:lineRule="auto"/>
        <w:ind w:left="567"/>
        <w:jc w:val="both"/>
        <w:rPr>
          <w:sz w:val="24"/>
          <w:szCs w:val="24"/>
        </w:rPr>
      </w:pPr>
    </w:p>
    <w:p w14:paraId="4563D2E0" w14:textId="77777777" w:rsidR="00D569CC" w:rsidRDefault="003B24C7" w:rsidP="002B07B2">
      <w:pPr>
        <w:pStyle w:val="NoSpacing"/>
        <w:numPr>
          <w:ilvl w:val="0"/>
          <w:numId w:val="10"/>
        </w:numPr>
        <w:spacing w:line="276" w:lineRule="auto"/>
        <w:ind w:left="567" w:hanging="567"/>
        <w:jc w:val="both"/>
        <w:rPr>
          <w:b/>
          <w:bCs/>
          <w:sz w:val="24"/>
          <w:szCs w:val="24"/>
        </w:rPr>
      </w:pPr>
      <w:r w:rsidRPr="003B24C7">
        <w:rPr>
          <w:b/>
          <w:bCs/>
          <w:sz w:val="24"/>
          <w:szCs w:val="24"/>
        </w:rPr>
        <w:t>Governance</w:t>
      </w:r>
    </w:p>
    <w:p w14:paraId="378ECF90" w14:textId="77777777" w:rsidR="00D569CC" w:rsidRDefault="00D569CC" w:rsidP="002B07B2">
      <w:pPr>
        <w:pStyle w:val="NoSpacing"/>
        <w:spacing w:line="276" w:lineRule="auto"/>
        <w:ind w:left="567" w:hanging="567"/>
        <w:jc w:val="both"/>
        <w:rPr>
          <w:b/>
          <w:bCs/>
          <w:sz w:val="24"/>
          <w:szCs w:val="24"/>
        </w:rPr>
      </w:pPr>
    </w:p>
    <w:p w14:paraId="213CC6CF" w14:textId="09532F74" w:rsidR="0003720F" w:rsidRPr="00E74CBC" w:rsidRDefault="00761E0A" w:rsidP="002B07B2">
      <w:pPr>
        <w:pStyle w:val="NoSpacing"/>
        <w:numPr>
          <w:ilvl w:val="1"/>
          <w:numId w:val="10"/>
        </w:numPr>
        <w:spacing w:line="276" w:lineRule="auto"/>
        <w:ind w:left="567" w:hanging="567"/>
        <w:jc w:val="both"/>
        <w:rPr>
          <w:b/>
          <w:bCs/>
          <w:sz w:val="24"/>
          <w:szCs w:val="24"/>
        </w:rPr>
      </w:pPr>
      <w:r w:rsidRPr="00D569CC">
        <w:rPr>
          <w:sz w:val="24"/>
          <w:szCs w:val="24"/>
        </w:rPr>
        <w:t xml:space="preserve">Recent Executive Board </w:t>
      </w:r>
      <w:r w:rsidR="00362841" w:rsidRPr="00D569CC">
        <w:rPr>
          <w:sz w:val="24"/>
          <w:szCs w:val="24"/>
        </w:rPr>
        <w:t xml:space="preserve">meetings have not been </w:t>
      </w:r>
      <w:proofErr w:type="gramStart"/>
      <w:r w:rsidR="00362841" w:rsidRPr="00D569CC">
        <w:rPr>
          <w:sz w:val="24"/>
          <w:szCs w:val="24"/>
        </w:rPr>
        <w:t>quorate</w:t>
      </w:r>
      <w:proofErr w:type="gramEnd"/>
      <w:r w:rsidR="00362841" w:rsidRPr="00D569CC">
        <w:rPr>
          <w:sz w:val="24"/>
          <w:szCs w:val="24"/>
        </w:rPr>
        <w:t xml:space="preserve"> and decisions have need</w:t>
      </w:r>
      <w:r w:rsidR="00D569CC">
        <w:rPr>
          <w:sz w:val="24"/>
          <w:szCs w:val="24"/>
        </w:rPr>
        <w:t>ed</w:t>
      </w:r>
      <w:r w:rsidR="00362841" w:rsidRPr="00D569CC">
        <w:rPr>
          <w:sz w:val="24"/>
          <w:szCs w:val="24"/>
        </w:rPr>
        <w:t xml:space="preserve"> to be made through the written procedure process</w:t>
      </w:r>
      <w:r w:rsidR="00885298" w:rsidRPr="00D569CC">
        <w:rPr>
          <w:sz w:val="24"/>
          <w:szCs w:val="24"/>
        </w:rPr>
        <w:t xml:space="preserve">, although decisions </w:t>
      </w:r>
      <w:r w:rsidR="00D569CC" w:rsidRPr="00D569CC">
        <w:rPr>
          <w:sz w:val="24"/>
          <w:szCs w:val="24"/>
        </w:rPr>
        <w:t>still need to be rati</w:t>
      </w:r>
      <w:r w:rsidR="00D569CC">
        <w:rPr>
          <w:sz w:val="24"/>
          <w:szCs w:val="24"/>
        </w:rPr>
        <w:t xml:space="preserve">fied at the following </w:t>
      </w:r>
      <w:r w:rsidR="00486567">
        <w:rPr>
          <w:sz w:val="24"/>
          <w:szCs w:val="24"/>
        </w:rPr>
        <w:t>meeting of the Board provided</w:t>
      </w:r>
      <w:r w:rsidR="00CD5335">
        <w:rPr>
          <w:sz w:val="24"/>
          <w:szCs w:val="24"/>
        </w:rPr>
        <w:t xml:space="preserve"> this is quorate.</w:t>
      </w:r>
      <w:r w:rsidR="00C631AB">
        <w:rPr>
          <w:b/>
          <w:bCs/>
          <w:sz w:val="24"/>
          <w:szCs w:val="24"/>
        </w:rPr>
        <w:t xml:space="preserve">  </w:t>
      </w:r>
      <w:r w:rsidR="0003720F" w:rsidRPr="00C631AB">
        <w:rPr>
          <w:sz w:val="24"/>
          <w:szCs w:val="24"/>
        </w:rPr>
        <w:t xml:space="preserve">It has been considered as to how </w:t>
      </w:r>
      <w:r w:rsidR="008A1C2C" w:rsidRPr="00C631AB">
        <w:rPr>
          <w:sz w:val="24"/>
          <w:szCs w:val="24"/>
        </w:rPr>
        <w:t>this may be simplified</w:t>
      </w:r>
      <w:r w:rsidR="00190183" w:rsidRPr="00C631AB">
        <w:rPr>
          <w:sz w:val="24"/>
          <w:szCs w:val="24"/>
        </w:rPr>
        <w:t xml:space="preserve">, including making changes </w:t>
      </w:r>
      <w:r w:rsidR="00907206" w:rsidRPr="00C631AB">
        <w:rPr>
          <w:sz w:val="24"/>
          <w:szCs w:val="24"/>
        </w:rPr>
        <w:t>to the Assurance Framework</w:t>
      </w:r>
      <w:r w:rsidR="00625E6A" w:rsidRPr="00C631AB">
        <w:rPr>
          <w:sz w:val="24"/>
          <w:szCs w:val="24"/>
        </w:rPr>
        <w:t>, delegat</w:t>
      </w:r>
      <w:r w:rsidR="004A1721" w:rsidRPr="00C631AB">
        <w:rPr>
          <w:sz w:val="24"/>
          <w:szCs w:val="24"/>
        </w:rPr>
        <w:t>ing</w:t>
      </w:r>
      <w:r w:rsidR="00625E6A" w:rsidRPr="00C631AB">
        <w:rPr>
          <w:sz w:val="24"/>
          <w:szCs w:val="24"/>
        </w:rPr>
        <w:t xml:space="preserve"> authority</w:t>
      </w:r>
      <w:r w:rsidR="00361353">
        <w:rPr>
          <w:sz w:val="24"/>
          <w:szCs w:val="24"/>
        </w:rPr>
        <w:t>,</w:t>
      </w:r>
      <w:r w:rsidR="00625E6A" w:rsidRPr="00C631AB">
        <w:rPr>
          <w:sz w:val="24"/>
          <w:szCs w:val="24"/>
        </w:rPr>
        <w:t xml:space="preserve"> and </w:t>
      </w:r>
      <w:r w:rsidR="004A1721" w:rsidRPr="00C631AB">
        <w:rPr>
          <w:sz w:val="24"/>
          <w:szCs w:val="24"/>
        </w:rPr>
        <w:t>several of the Directors</w:t>
      </w:r>
      <w:r w:rsidR="00DE64C0" w:rsidRPr="00C631AB">
        <w:rPr>
          <w:sz w:val="24"/>
          <w:szCs w:val="24"/>
        </w:rPr>
        <w:t xml:space="preserve"> resigning so that t</w:t>
      </w:r>
      <w:r w:rsidR="004A1721" w:rsidRPr="00C631AB">
        <w:rPr>
          <w:sz w:val="24"/>
          <w:szCs w:val="24"/>
        </w:rPr>
        <w:t xml:space="preserve">hat only a minimal </w:t>
      </w:r>
      <w:r w:rsidR="00C631AB" w:rsidRPr="00C631AB">
        <w:rPr>
          <w:sz w:val="24"/>
          <w:szCs w:val="24"/>
        </w:rPr>
        <w:t>number of Directors are required to authorise decisions.</w:t>
      </w:r>
    </w:p>
    <w:p w14:paraId="2C1A2516" w14:textId="77777777" w:rsidR="00E74CBC" w:rsidRPr="00C631AB" w:rsidRDefault="00E74CBC" w:rsidP="00E74CBC">
      <w:pPr>
        <w:pStyle w:val="NoSpacing"/>
        <w:spacing w:line="276" w:lineRule="auto"/>
        <w:ind w:left="567"/>
        <w:jc w:val="both"/>
        <w:rPr>
          <w:b/>
          <w:bCs/>
          <w:sz w:val="24"/>
          <w:szCs w:val="24"/>
        </w:rPr>
      </w:pPr>
    </w:p>
    <w:p w14:paraId="4D7A1F41" w14:textId="22CE3502" w:rsidR="00C631AB" w:rsidRPr="00932245" w:rsidRDefault="00C631AB" w:rsidP="002B07B2">
      <w:pPr>
        <w:pStyle w:val="NoSpacing"/>
        <w:numPr>
          <w:ilvl w:val="1"/>
          <w:numId w:val="10"/>
        </w:numPr>
        <w:spacing w:line="276" w:lineRule="auto"/>
        <w:ind w:left="567" w:hanging="567"/>
        <w:jc w:val="both"/>
        <w:rPr>
          <w:b/>
          <w:bCs/>
          <w:sz w:val="24"/>
          <w:szCs w:val="24"/>
        </w:rPr>
      </w:pPr>
      <w:r>
        <w:rPr>
          <w:sz w:val="24"/>
          <w:szCs w:val="24"/>
        </w:rPr>
        <w:t xml:space="preserve">However, </w:t>
      </w:r>
      <w:r w:rsidR="008617D3">
        <w:rPr>
          <w:sz w:val="24"/>
          <w:szCs w:val="24"/>
        </w:rPr>
        <w:t xml:space="preserve">advice </w:t>
      </w:r>
      <w:r>
        <w:rPr>
          <w:sz w:val="24"/>
          <w:szCs w:val="24"/>
        </w:rPr>
        <w:t xml:space="preserve">from </w:t>
      </w:r>
      <w:r w:rsidR="00A0778D">
        <w:rPr>
          <w:sz w:val="24"/>
          <w:szCs w:val="24"/>
        </w:rPr>
        <w:t xml:space="preserve">Government </w:t>
      </w:r>
      <w:r w:rsidR="008617D3">
        <w:rPr>
          <w:sz w:val="24"/>
          <w:szCs w:val="24"/>
        </w:rPr>
        <w:t xml:space="preserve">has been to </w:t>
      </w:r>
      <w:r w:rsidR="00A0778D">
        <w:rPr>
          <w:sz w:val="24"/>
          <w:szCs w:val="24"/>
        </w:rPr>
        <w:t xml:space="preserve">persevere </w:t>
      </w:r>
      <w:r w:rsidR="008345CE">
        <w:rPr>
          <w:sz w:val="24"/>
          <w:szCs w:val="24"/>
        </w:rPr>
        <w:t xml:space="preserve">in obtaining quorate decisions through the existing arrangements.  </w:t>
      </w:r>
      <w:r w:rsidR="000D25E1">
        <w:rPr>
          <w:sz w:val="24"/>
          <w:szCs w:val="24"/>
        </w:rPr>
        <w:t>This is clearly challenging for many LEPs across the country</w:t>
      </w:r>
      <w:r w:rsidR="00382C26">
        <w:rPr>
          <w:sz w:val="24"/>
          <w:szCs w:val="24"/>
        </w:rPr>
        <w:t xml:space="preserve"> and </w:t>
      </w:r>
      <w:r w:rsidR="00E87CD5">
        <w:rPr>
          <w:sz w:val="24"/>
          <w:szCs w:val="24"/>
        </w:rPr>
        <w:t xml:space="preserve">therefore more recent discussions with </w:t>
      </w:r>
      <w:r w:rsidR="009C7A20">
        <w:rPr>
          <w:sz w:val="24"/>
          <w:szCs w:val="24"/>
        </w:rPr>
        <w:t xml:space="preserve">civil servants has suggested </w:t>
      </w:r>
      <w:r w:rsidR="00EC5B2E">
        <w:rPr>
          <w:sz w:val="24"/>
          <w:szCs w:val="24"/>
        </w:rPr>
        <w:t>taking</w:t>
      </w:r>
      <w:r w:rsidR="009C7A20">
        <w:rPr>
          <w:sz w:val="24"/>
          <w:szCs w:val="24"/>
        </w:rPr>
        <w:t xml:space="preserve"> </w:t>
      </w:r>
      <w:r w:rsidR="00EC5B2E">
        <w:rPr>
          <w:sz w:val="24"/>
          <w:szCs w:val="24"/>
        </w:rPr>
        <w:t>a pragmatic approach</w:t>
      </w:r>
      <w:r w:rsidR="004A45CF">
        <w:rPr>
          <w:sz w:val="24"/>
          <w:szCs w:val="24"/>
        </w:rPr>
        <w:t xml:space="preserve"> in securing any necessary decisions through the LEPs</w:t>
      </w:r>
      <w:r w:rsidR="00EC5B2E">
        <w:rPr>
          <w:sz w:val="24"/>
          <w:szCs w:val="24"/>
        </w:rPr>
        <w:t>.</w:t>
      </w:r>
    </w:p>
    <w:p w14:paraId="3F8C3EDE" w14:textId="77777777" w:rsidR="00932245" w:rsidRPr="00654957" w:rsidRDefault="00932245" w:rsidP="002B07B2">
      <w:pPr>
        <w:pStyle w:val="NoSpacing"/>
        <w:spacing w:line="276" w:lineRule="auto"/>
        <w:ind w:left="567" w:hanging="567"/>
        <w:jc w:val="both"/>
        <w:rPr>
          <w:b/>
          <w:bCs/>
          <w:sz w:val="24"/>
          <w:szCs w:val="24"/>
        </w:rPr>
      </w:pPr>
    </w:p>
    <w:p w14:paraId="0D125172" w14:textId="3DABF42D" w:rsidR="00260E81" w:rsidRPr="00754B7C" w:rsidRDefault="00275FFF" w:rsidP="002B07B2">
      <w:pPr>
        <w:pStyle w:val="NoSpacing"/>
        <w:numPr>
          <w:ilvl w:val="1"/>
          <w:numId w:val="10"/>
        </w:numPr>
        <w:spacing w:line="276" w:lineRule="auto"/>
        <w:ind w:left="567" w:hanging="567"/>
        <w:jc w:val="both"/>
        <w:rPr>
          <w:b/>
          <w:bCs/>
          <w:sz w:val="24"/>
          <w:szCs w:val="24"/>
        </w:rPr>
      </w:pPr>
      <w:r>
        <w:rPr>
          <w:sz w:val="24"/>
          <w:szCs w:val="24"/>
        </w:rPr>
        <w:t>I</w:t>
      </w:r>
      <w:r w:rsidR="009B6668">
        <w:rPr>
          <w:sz w:val="24"/>
          <w:szCs w:val="24"/>
        </w:rPr>
        <w:t xml:space="preserve">n the interests of brevity, it will therefore be important for any </w:t>
      </w:r>
      <w:r w:rsidR="00264EBB">
        <w:rPr>
          <w:sz w:val="24"/>
          <w:szCs w:val="24"/>
        </w:rPr>
        <w:t>decision</w:t>
      </w:r>
      <w:r w:rsidR="00FE6F1C">
        <w:rPr>
          <w:sz w:val="24"/>
          <w:szCs w:val="24"/>
        </w:rPr>
        <w:t xml:space="preserve">s and requirements for the Executive Board to meet to be kept to a minimum.  </w:t>
      </w:r>
      <w:r w:rsidR="00320243">
        <w:rPr>
          <w:sz w:val="24"/>
          <w:szCs w:val="24"/>
        </w:rPr>
        <w:t xml:space="preserve">If the Executive Board agrees to the </w:t>
      </w:r>
      <w:r w:rsidR="00EC7F18">
        <w:rPr>
          <w:sz w:val="24"/>
          <w:szCs w:val="24"/>
        </w:rPr>
        <w:t>recommendations set out within this report</w:t>
      </w:r>
      <w:r w:rsidR="00076F2F">
        <w:rPr>
          <w:sz w:val="24"/>
          <w:szCs w:val="24"/>
        </w:rPr>
        <w:t>, the</w:t>
      </w:r>
      <w:r w:rsidR="00100D9D">
        <w:rPr>
          <w:sz w:val="24"/>
          <w:szCs w:val="24"/>
        </w:rPr>
        <w:t>re should be no</w:t>
      </w:r>
      <w:r w:rsidR="00076F2F">
        <w:rPr>
          <w:sz w:val="24"/>
          <w:szCs w:val="24"/>
        </w:rPr>
        <w:t xml:space="preserve"> need for the SSLEP to make any further decisions, </w:t>
      </w:r>
      <w:r w:rsidR="0078024F">
        <w:rPr>
          <w:sz w:val="24"/>
          <w:szCs w:val="24"/>
        </w:rPr>
        <w:t xml:space="preserve">with decision-making </w:t>
      </w:r>
      <w:r w:rsidR="00100D9D">
        <w:rPr>
          <w:sz w:val="24"/>
          <w:szCs w:val="24"/>
        </w:rPr>
        <w:t xml:space="preserve">responsibilities </w:t>
      </w:r>
      <w:r w:rsidR="0078024F">
        <w:rPr>
          <w:sz w:val="24"/>
          <w:szCs w:val="24"/>
        </w:rPr>
        <w:t xml:space="preserve">transferring to the local authorities through </w:t>
      </w:r>
      <w:r w:rsidR="002F48B0">
        <w:rPr>
          <w:sz w:val="24"/>
          <w:szCs w:val="24"/>
        </w:rPr>
        <w:t>a</w:t>
      </w:r>
      <w:r w:rsidR="0078024F">
        <w:rPr>
          <w:sz w:val="24"/>
          <w:szCs w:val="24"/>
        </w:rPr>
        <w:t xml:space="preserve"> joint committee arrangement</w:t>
      </w:r>
      <w:r w:rsidR="00260E81">
        <w:rPr>
          <w:sz w:val="24"/>
          <w:szCs w:val="24"/>
        </w:rPr>
        <w:t>.</w:t>
      </w:r>
    </w:p>
    <w:p w14:paraId="78E68CE2" w14:textId="77777777" w:rsidR="00754B7C" w:rsidRDefault="00754B7C" w:rsidP="002B07B2">
      <w:pPr>
        <w:pStyle w:val="NoSpacing"/>
        <w:spacing w:line="276" w:lineRule="auto"/>
        <w:jc w:val="both"/>
        <w:rPr>
          <w:b/>
          <w:bCs/>
          <w:sz w:val="24"/>
          <w:szCs w:val="24"/>
        </w:rPr>
      </w:pPr>
    </w:p>
    <w:p w14:paraId="124CFED5" w14:textId="5F3689E7" w:rsidR="00E52291" w:rsidRPr="00262CB7" w:rsidRDefault="00FA2CD7" w:rsidP="002B07B2">
      <w:pPr>
        <w:pStyle w:val="NoSpacing"/>
        <w:numPr>
          <w:ilvl w:val="1"/>
          <w:numId w:val="10"/>
        </w:numPr>
        <w:spacing w:line="276" w:lineRule="auto"/>
        <w:ind w:left="567" w:hanging="567"/>
        <w:jc w:val="both"/>
        <w:rPr>
          <w:b/>
          <w:bCs/>
          <w:sz w:val="24"/>
          <w:szCs w:val="24"/>
        </w:rPr>
      </w:pPr>
      <w:r>
        <w:rPr>
          <w:sz w:val="24"/>
          <w:szCs w:val="24"/>
        </w:rPr>
        <w:t>The j</w:t>
      </w:r>
      <w:r w:rsidR="00662C7D" w:rsidRPr="00260E81">
        <w:rPr>
          <w:sz w:val="24"/>
          <w:szCs w:val="24"/>
        </w:rPr>
        <w:t xml:space="preserve">oint </w:t>
      </w:r>
      <w:r>
        <w:rPr>
          <w:sz w:val="24"/>
          <w:szCs w:val="24"/>
        </w:rPr>
        <w:t>c</w:t>
      </w:r>
      <w:r w:rsidR="00662C7D" w:rsidRPr="00260E81">
        <w:rPr>
          <w:sz w:val="24"/>
          <w:szCs w:val="24"/>
        </w:rPr>
        <w:t xml:space="preserve">ommittee is </w:t>
      </w:r>
      <w:r>
        <w:rPr>
          <w:sz w:val="24"/>
          <w:szCs w:val="24"/>
        </w:rPr>
        <w:t xml:space="preserve">to be established based on </w:t>
      </w:r>
      <w:r w:rsidR="00E65559">
        <w:rPr>
          <w:sz w:val="24"/>
          <w:szCs w:val="24"/>
        </w:rPr>
        <w:t xml:space="preserve">the principles followed </w:t>
      </w:r>
      <w:r w:rsidR="00AA5D78">
        <w:rPr>
          <w:sz w:val="24"/>
          <w:szCs w:val="24"/>
        </w:rPr>
        <w:t xml:space="preserve">in relation to </w:t>
      </w:r>
      <w:r w:rsidR="00334E55">
        <w:rPr>
          <w:sz w:val="24"/>
          <w:szCs w:val="24"/>
        </w:rPr>
        <w:t xml:space="preserve">SCC’s and </w:t>
      </w:r>
      <w:proofErr w:type="spellStart"/>
      <w:r w:rsidR="00334E55">
        <w:rPr>
          <w:sz w:val="24"/>
          <w:szCs w:val="24"/>
        </w:rPr>
        <w:t>S</w:t>
      </w:r>
      <w:r w:rsidR="00C72E13">
        <w:rPr>
          <w:sz w:val="24"/>
          <w:szCs w:val="24"/>
        </w:rPr>
        <w:t>oTCC’s</w:t>
      </w:r>
      <w:proofErr w:type="spellEnd"/>
      <w:r w:rsidR="00C72E13">
        <w:rPr>
          <w:sz w:val="24"/>
          <w:szCs w:val="24"/>
        </w:rPr>
        <w:t xml:space="preserve"> </w:t>
      </w:r>
      <w:r w:rsidR="00662C7D" w:rsidRPr="00260E81">
        <w:rPr>
          <w:sz w:val="24"/>
          <w:szCs w:val="24"/>
        </w:rPr>
        <w:t>existing</w:t>
      </w:r>
      <w:r w:rsidR="002F4A66">
        <w:rPr>
          <w:sz w:val="24"/>
          <w:szCs w:val="24"/>
        </w:rPr>
        <w:t xml:space="preserve"> shared</w:t>
      </w:r>
      <w:r w:rsidR="00662C7D" w:rsidRPr="00260E81">
        <w:rPr>
          <w:sz w:val="24"/>
          <w:szCs w:val="24"/>
        </w:rPr>
        <w:t xml:space="preserve"> services (e.g. Archives and Coroners).  </w:t>
      </w:r>
      <w:r w:rsidR="00927F5F">
        <w:rPr>
          <w:sz w:val="24"/>
          <w:szCs w:val="24"/>
        </w:rPr>
        <w:t xml:space="preserve">This will include political representation from both authorities to </w:t>
      </w:r>
      <w:r w:rsidR="00D30C97">
        <w:rPr>
          <w:sz w:val="24"/>
          <w:szCs w:val="24"/>
        </w:rPr>
        <w:t xml:space="preserve">make any necessary decisions on residual </w:t>
      </w:r>
      <w:r w:rsidR="000744BB">
        <w:rPr>
          <w:sz w:val="24"/>
          <w:szCs w:val="24"/>
        </w:rPr>
        <w:t xml:space="preserve">LEP </w:t>
      </w:r>
      <w:r w:rsidR="00D30C97">
        <w:rPr>
          <w:sz w:val="24"/>
          <w:szCs w:val="24"/>
        </w:rPr>
        <w:t>activity</w:t>
      </w:r>
      <w:r w:rsidR="007B509C">
        <w:rPr>
          <w:sz w:val="24"/>
          <w:szCs w:val="24"/>
        </w:rPr>
        <w:t xml:space="preserve">, </w:t>
      </w:r>
      <w:r w:rsidR="00313CF6">
        <w:rPr>
          <w:sz w:val="24"/>
          <w:szCs w:val="24"/>
        </w:rPr>
        <w:t xml:space="preserve">functions </w:t>
      </w:r>
      <w:r w:rsidR="000744BB">
        <w:rPr>
          <w:sz w:val="24"/>
          <w:szCs w:val="24"/>
        </w:rPr>
        <w:t>transferred to the local authorities as appropriate</w:t>
      </w:r>
      <w:r w:rsidR="007B509C">
        <w:rPr>
          <w:sz w:val="24"/>
          <w:szCs w:val="24"/>
        </w:rPr>
        <w:t xml:space="preserve"> and the management of the LEPs assets</w:t>
      </w:r>
      <w:r w:rsidR="00873C79">
        <w:rPr>
          <w:sz w:val="24"/>
          <w:szCs w:val="24"/>
        </w:rPr>
        <w:t xml:space="preserve"> in accordance with t</w:t>
      </w:r>
      <w:r w:rsidR="004B78C8">
        <w:rPr>
          <w:sz w:val="24"/>
          <w:szCs w:val="24"/>
        </w:rPr>
        <w:t>he recommendations set out within the Financial Reserves report</w:t>
      </w:r>
      <w:r w:rsidR="00662C7D" w:rsidRPr="00260E81">
        <w:rPr>
          <w:sz w:val="24"/>
          <w:szCs w:val="24"/>
        </w:rPr>
        <w:t>.</w:t>
      </w:r>
      <w:r w:rsidR="000744BB">
        <w:rPr>
          <w:sz w:val="24"/>
          <w:szCs w:val="24"/>
        </w:rPr>
        <w:t xml:space="preserve">  </w:t>
      </w:r>
      <w:r w:rsidR="00EB58E1">
        <w:rPr>
          <w:sz w:val="24"/>
          <w:szCs w:val="24"/>
        </w:rPr>
        <w:t>It is recommended that the activity of the joint committee includes consultation with the SSLEP Chairman</w:t>
      </w:r>
      <w:r w:rsidR="00E85ED8">
        <w:rPr>
          <w:sz w:val="24"/>
          <w:szCs w:val="24"/>
        </w:rPr>
        <w:t xml:space="preserve"> as appropriate</w:t>
      </w:r>
      <w:r w:rsidR="0048394E">
        <w:rPr>
          <w:sz w:val="24"/>
          <w:szCs w:val="24"/>
        </w:rPr>
        <w:t xml:space="preserve"> until the SSLEP is formally dissolved.</w:t>
      </w:r>
    </w:p>
    <w:p w14:paraId="4D5A9343" w14:textId="77777777" w:rsidR="00262CB7" w:rsidRDefault="00262CB7" w:rsidP="002B07B2">
      <w:pPr>
        <w:pStyle w:val="ListParagraph"/>
        <w:spacing w:line="276" w:lineRule="auto"/>
        <w:rPr>
          <w:b/>
          <w:bCs/>
          <w:szCs w:val="24"/>
        </w:rPr>
      </w:pPr>
    </w:p>
    <w:p w14:paraId="3B0C8AA6" w14:textId="77777777" w:rsidR="008161BD" w:rsidRDefault="008161BD" w:rsidP="002B07B2">
      <w:pPr>
        <w:pStyle w:val="ListParagraph"/>
        <w:spacing w:line="276" w:lineRule="auto"/>
        <w:rPr>
          <w:b/>
          <w:bCs/>
          <w:szCs w:val="24"/>
        </w:rPr>
      </w:pPr>
    </w:p>
    <w:p w14:paraId="7E4FDF20" w14:textId="77777777" w:rsidR="005B7FF8" w:rsidRDefault="008478D9" w:rsidP="002B07B2">
      <w:pPr>
        <w:pStyle w:val="NoSpacing"/>
        <w:numPr>
          <w:ilvl w:val="0"/>
          <w:numId w:val="10"/>
        </w:numPr>
        <w:spacing w:line="276" w:lineRule="auto"/>
        <w:ind w:left="567" w:hanging="567"/>
        <w:jc w:val="both"/>
        <w:rPr>
          <w:b/>
          <w:bCs/>
          <w:sz w:val="24"/>
          <w:szCs w:val="24"/>
        </w:rPr>
      </w:pPr>
      <w:r>
        <w:rPr>
          <w:b/>
          <w:bCs/>
          <w:sz w:val="24"/>
          <w:szCs w:val="24"/>
        </w:rPr>
        <w:lastRenderedPageBreak/>
        <w:t>The Voice of Business</w:t>
      </w:r>
    </w:p>
    <w:p w14:paraId="545C86E6" w14:textId="77777777" w:rsidR="005B7FF8" w:rsidRDefault="005B7FF8" w:rsidP="002B07B2">
      <w:pPr>
        <w:pStyle w:val="NoSpacing"/>
        <w:spacing w:line="276" w:lineRule="auto"/>
        <w:ind w:left="567" w:hanging="567"/>
        <w:jc w:val="both"/>
        <w:rPr>
          <w:b/>
          <w:bCs/>
          <w:sz w:val="24"/>
          <w:szCs w:val="24"/>
        </w:rPr>
      </w:pPr>
    </w:p>
    <w:p w14:paraId="0ED1BB39" w14:textId="7C087771" w:rsidR="005B7FF8" w:rsidRPr="005B7FF8" w:rsidRDefault="005B7FF8" w:rsidP="002B07B2">
      <w:pPr>
        <w:pStyle w:val="NoSpacing"/>
        <w:numPr>
          <w:ilvl w:val="1"/>
          <w:numId w:val="10"/>
        </w:numPr>
        <w:spacing w:line="276" w:lineRule="auto"/>
        <w:ind w:left="567" w:hanging="567"/>
        <w:jc w:val="both"/>
        <w:rPr>
          <w:sz w:val="24"/>
          <w:szCs w:val="24"/>
        </w:rPr>
      </w:pPr>
      <w:r w:rsidRPr="005B7FF8">
        <w:rPr>
          <w:sz w:val="24"/>
          <w:szCs w:val="24"/>
        </w:rPr>
        <w:t xml:space="preserve">Through guidance released alongside </w:t>
      </w:r>
      <w:r w:rsidR="009E17E4">
        <w:rPr>
          <w:sz w:val="24"/>
          <w:szCs w:val="24"/>
        </w:rPr>
        <w:t>its</w:t>
      </w:r>
      <w:r w:rsidRPr="005B7FF8">
        <w:rPr>
          <w:sz w:val="24"/>
          <w:szCs w:val="24"/>
        </w:rPr>
        <w:t xml:space="preserve"> decision </w:t>
      </w:r>
      <w:r w:rsidR="009E17E4">
        <w:rPr>
          <w:sz w:val="24"/>
          <w:szCs w:val="24"/>
        </w:rPr>
        <w:t xml:space="preserve">to </w:t>
      </w:r>
      <w:r w:rsidR="00487111">
        <w:rPr>
          <w:sz w:val="24"/>
          <w:szCs w:val="24"/>
        </w:rPr>
        <w:t xml:space="preserve">cease funding the LEPs </w:t>
      </w:r>
      <w:r w:rsidRPr="005B7FF8">
        <w:rPr>
          <w:sz w:val="24"/>
          <w:szCs w:val="24"/>
        </w:rPr>
        <w:t xml:space="preserve">and additional guidance released on 19th December 2023, Government has made it clear that it views it to be important to retain the key strengths of this local, business-oriented institution, namely in providing a strong, local business voice to support public sector decision-making.  Meeting Government’s expectations on the provision of the business voice function </w:t>
      </w:r>
      <w:r w:rsidR="001B2AC5">
        <w:rPr>
          <w:sz w:val="24"/>
          <w:szCs w:val="24"/>
        </w:rPr>
        <w:t xml:space="preserve">will </w:t>
      </w:r>
      <w:r w:rsidRPr="005B7FF8">
        <w:rPr>
          <w:sz w:val="24"/>
          <w:szCs w:val="24"/>
        </w:rPr>
        <w:t xml:space="preserve">be important in </w:t>
      </w:r>
      <w:r w:rsidR="001B2AC5">
        <w:rPr>
          <w:sz w:val="24"/>
          <w:szCs w:val="24"/>
        </w:rPr>
        <w:t>the</w:t>
      </w:r>
      <w:r w:rsidRPr="005B7FF8">
        <w:rPr>
          <w:sz w:val="24"/>
          <w:szCs w:val="24"/>
        </w:rPr>
        <w:t xml:space="preserve"> ability </w:t>
      </w:r>
      <w:r w:rsidR="001B2AC5">
        <w:rPr>
          <w:sz w:val="24"/>
          <w:szCs w:val="24"/>
        </w:rPr>
        <w:t xml:space="preserve">of the local authorities </w:t>
      </w:r>
      <w:r w:rsidRPr="005B7FF8">
        <w:rPr>
          <w:sz w:val="24"/>
          <w:szCs w:val="24"/>
        </w:rPr>
        <w:t>to access funding, not only for the responsibilities transferred from the LEP such as the Growth Hub and Careers Hub, but also in wider future Government programmes and funding streams.</w:t>
      </w:r>
    </w:p>
    <w:p w14:paraId="16082947" w14:textId="77777777" w:rsidR="005B7FF8" w:rsidRPr="005B7FF8" w:rsidRDefault="005B7FF8" w:rsidP="002B07B2">
      <w:pPr>
        <w:pStyle w:val="NoSpacing"/>
        <w:spacing w:line="276" w:lineRule="auto"/>
        <w:ind w:left="567" w:hanging="567"/>
        <w:jc w:val="both"/>
        <w:rPr>
          <w:sz w:val="24"/>
          <w:szCs w:val="24"/>
        </w:rPr>
      </w:pPr>
    </w:p>
    <w:p w14:paraId="2579E66A" w14:textId="7BE2CAEB" w:rsidR="00FC06C3" w:rsidRPr="00924F1D" w:rsidRDefault="005B7FF8" w:rsidP="002B07B2">
      <w:pPr>
        <w:pStyle w:val="NoSpacing"/>
        <w:numPr>
          <w:ilvl w:val="1"/>
          <w:numId w:val="10"/>
        </w:numPr>
        <w:spacing w:line="276" w:lineRule="auto"/>
        <w:ind w:left="567" w:hanging="567"/>
        <w:jc w:val="both"/>
        <w:rPr>
          <w:sz w:val="24"/>
          <w:szCs w:val="24"/>
        </w:rPr>
      </w:pPr>
      <w:r w:rsidRPr="005B7FF8">
        <w:rPr>
          <w:sz w:val="24"/>
          <w:szCs w:val="24"/>
        </w:rPr>
        <w:t xml:space="preserve">It will therefore be vital that there </w:t>
      </w:r>
      <w:r w:rsidR="00F83634">
        <w:rPr>
          <w:sz w:val="24"/>
          <w:szCs w:val="24"/>
        </w:rPr>
        <w:t>remains</w:t>
      </w:r>
      <w:r w:rsidRPr="005B7FF8">
        <w:rPr>
          <w:sz w:val="24"/>
          <w:szCs w:val="24"/>
        </w:rPr>
        <w:t xml:space="preserve"> an effective business voice in the area, not only to meet Government requirements but also our </w:t>
      </w:r>
      <w:r w:rsidR="00626616">
        <w:rPr>
          <w:sz w:val="24"/>
          <w:szCs w:val="24"/>
        </w:rPr>
        <w:t>local</w:t>
      </w:r>
      <w:r w:rsidRPr="005B7FF8">
        <w:rPr>
          <w:sz w:val="24"/>
          <w:szCs w:val="24"/>
        </w:rPr>
        <w:t xml:space="preserve"> expectations and ambitions.  </w:t>
      </w:r>
      <w:r w:rsidR="00DB7ABE" w:rsidRPr="00475492">
        <w:rPr>
          <w:sz w:val="24"/>
          <w:szCs w:val="24"/>
        </w:rPr>
        <w:t xml:space="preserve">The </w:t>
      </w:r>
      <w:r w:rsidR="00DB7ABE">
        <w:rPr>
          <w:sz w:val="24"/>
          <w:szCs w:val="24"/>
        </w:rPr>
        <w:t xml:space="preserve">Leaders of the local authorities considered this </w:t>
      </w:r>
      <w:r w:rsidR="005E28BB">
        <w:rPr>
          <w:sz w:val="24"/>
          <w:szCs w:val="24"/>
        </w:rPr>
        <w:t>at the end of January 2024</w:t>
      </w:r>
      <w:r w:rsidR="00306681">
        <w:rPr>
          <w:sz w:val="24"/>
          <w:szCs w:val="24"/>
        </w:rPr>
        <w:t xml:space="preserve"> and the emerging views on the principles, priorities</w:t>
      </w:r>
      <w:r w:rsidR="00E26ED5">
        <w:rPr>
          <w:sz w:val="24"/>
          <w:szCs w:val="24"/>
        </w:rPr>
        <w:t xml:space="preserve">, </w:t>
      </w:r>
      <w:r w:rsidR="00F771FD">
        <w:rPr>
          <w:sz w:val="24"/>
          <w:szCs w:val="24"/>
        </w:rPr>
        <w:t>governance</w:t>
      </w:r>
      <w:r w:rsidR="00E26ED5">
        <w:rPr>
          <w:sz w:val="24"/>
          <w:szCs w:val="24"/>
        </w:rPr>
        <w:t>, resource</w:t>
      </w:r>
      <w:r w:rsidR="00C376D9">
        <w:rPr>
          <w:sz w:val="24"/>
          <w:szCs w:val="24"/>
        </w:rPr>
        <w:t>, etc,</w:t>
      </w:r>
      <w:r w:rsidR="00F771FD">
        <w:rPr>
          <w:sz w:val="24"/>
          <w:szCs w:val="24"/>
        </w:rPr>
        <w:t xml:space="preserve"> for the business voice function are </w:t>
      </w:r>
      <w:r w:rsidR="003C59D6">
        <w:rPr>
          <w:sz w:val="24"/>
          <w:szCs w:val="24"/>
        </w:rPr>
        <w:t xml:space="preserve">set out within appendix </w:t>
      </w:r>
      <w:r w:rsidR="00183A93">
        <w:rPr>
          <w:sz w:val="24"/>
          <w:szCs w:val="24"/>
        </w:rPr>
        <w:t>3</w:t>
      </w:r>
      <w:r w:rsidR="003C59D6">
        <w:rPr>
          <w:sz w:val="24"/>
          <w:szCs w:val="24"/>
        </w:rPr>
        <w:t xml:space="preserve"> </w:t>
      </w:r>
      <w:r w:rsidR="00F771FD">
        <w:rPr>
          <w:sz w:val="24"/>
          <w:szCs w:val="24"/>
        </w:rPr>
        <w:t xml:space="preserve">to this report </w:t>
      </w:r>
      <w:r w:rsidR="00BD24B3">
        <w:rPr>
          <w:sz w:val="24"/>
          <w:szCs w:val="24"/>
        </w:rPr>
        <w:t>for consideration and comment.</w:t>
      </w:r>
    </w:p>
    <w:sectPr w:rsidR="00FC06C3" w:rsidRPr="00924F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E437" w14:textId="77777777" w:rsidR="00EA7673" w:rsidRDefault="00EA7673" w:rsidP="005B4A79">
      <w:pPr>
        <w:spacing w:after="0" w:line="240" w:lineRule="auto"/>
      </w:pPr>
      <w:r>
        <w:separator/>
      </w:r>
    </w:p>
  </w:endnote>
  <w:endnote w:type="continuationSeparator" w:id="0">
    <w:p w14:paraId="104AEB3C" w14:textId="77777777" w:rsidR="00EA7673" w:rsidRDefault="00EA7673" w:rsidP="005B4A79">
      <w:pPr>
        <w:spacing w:after="0" w:line="240" w:lineRule="auto"/>
      </w:pPr>
      <w:r>
        <w:continuationSeparator/>
      </w:r>
    </w:p>
  </w:endnote>
  <w:endnote w:type="continuationNotice" w:id="1">
    <w:p w14:paraId="1C30C0D7" w14:textId="77777777" w:rsidR="00EA7673" w:rsidRDefault="00EA7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EA65" w14:textId="77777777" w:rsidR="00FC28E3" w:rsidRDefault="00FC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11042"/>
      <w:docPartObj>
        <w:docPartGallery w:val="Page Numbers (Bottom of Page)"/>
        <w:docPartUnique/>
      </w:docPartObj>
    </w:sdtPr>
    <w:sdtEndPr>
      <w:rPr>
        <w:noProof/>
      </w:rPr>
    </w:sdtEndPr>
    <w:sdtContent>
      <w:p w14:paraId="25E08FBE" w14:textId="6AE3CC56" w:rsidR="00BF50C9" w:rsidRDefault="00BF50C9">
        <w:pPr>
          <w:pStyle w:val="Footer"/>
        </w:pPr>
        <w:r>
          <w:fldChar w:fldCharType="begin"/>
        </w:r>
        <w:r>
          <w:instrText xml:space="preserve"> PAGE   \* MERGEFORMAT </w:instrText>
        </w:r>
        <w:r>
          <w:fldChar w:fldCharType="separate"/>
        </w:r>
        <w:r>
          <w:rPr>
            <w:noProof/>
          </w:rPr>
          <w:t>2</w:t>
        </w:r>
        <w:r>
          <w:rPr>
            <w:noProof/>
          </w:rPr>
          <w:fldChar w:fldCharType="end"/>
        </w:r>
      </w:p>
    </w:sdtContent>
  </w:sdt>
  <w:p w14:paraId="31DD523A" w14:textId="77777777" w:rsidR="005B4A79" w:rsidRDefault="005B4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E37C" w14:textId="77777777" w:rsidR="00FC28E3" w:rsidRDefault="00FC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2254" w14:textId="77777777" w:rsidR="00EA7673" w:rsidRDefault="00EA7673" w:rsidP="005B4A79">
      <w:pPr>
        <w:spacing w:after="0" w:line="240" w:lineRule="auto"/>
      </w:pPr>
      <w:r>
        <w:separator/>
      </w:r>
    </w:p>
  </w:footnote>
  <w:footnote w:type="continuationSeparator" w:id="0">
    <w:p w14:paraId="7F3EECA4" w14:textId="77777777" w:rsidR="00EA7673" w:rsidRDefault="00EA7673" w:rsidP="005B4A79">
      <w:pPr>
        <w:spacing w:after="0" w:line="240" w:lineRule="auto"/>
      </w:pPr>
      <w:r>
        <w:continuationSeparator/>
      </w:r>
    </w:p>
  </w:footnote>
  <w:footnote w:type="continuationNotice" w:id="1">
    <w:p w14:paraId="7D26B350" w14:textId="77777777" w:rsidR="00EA7673" w:rsidRDefault="00EA7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7F18" w14:textId="3AFA9EEB" w:rsidR="00FC28E3" w:rsidRDefault="00FC2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6DB5" w14:textId="3BAF605C" w:rsidR="005B4A79" w:rsidRPr="00BE01F8" w:rsidRDefault="005B4A79" w:rsidP="005B4A79">
    <w:pPr>
      <w:jc w:val="right"/>
      <w:rPr>
        <w:b/>
        <w:bCs/>
        <w:color w:val="FF0000"/>
        <w:sz w:val="32"/>
        <w:szCs w:val="32"/>
      </w:rPr>
    </w:pPr>
    <w:r w:rsidRPr="00BE01F8">
      <w:rPr>
        <w:rFonts w:ascii="Verdana" w:eastAsia="Times New Roman" w:hAnsi="Verdana" w:cs="Times New Roman"/>
        <w:b/>
        <w:bCs/>
        <w:noProof/>
        <w:color w:val="FF0000"/>
        <w:sz w:val="32"/>
        <w:szCs w:val="32"/>
        <w:lang w:eastAsia="en-GB"/>
      </w:rPr>
      <w:drawing>
        <wp:anchor distT="0" distB="0" distL="114300" distR="114300" simplePos="0" relativeHeight="251658240" behindDoc="0" locked="0" layoutInCell="1" allowOverlap="1" wp14:anchorId="7E734B75" wp14:editId="0A8E461C">
          <wp:simplePos x="0" y="0"/>
          <wp:positionH relativeFrom="margin">
            <wp:posOffset>-501650</wp:posOffset>
          </wp:positionH>
          <wp:positionV relativeFrom="paragraph">
            <wp:posOffset>-164465</wp:posOffset>
          </wp:positionV>
          <wp:extent cx="1255076" cy="428625"/>
          <wp:effectExtent l="0" t="0" r="254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52876" w14:textId="60E96761" w:rsidR="005B4A79" w:rsidRDefault="005B4A79">
    <w:pPr>
      <w:pStyle w:val="Header"/>
    </w:pPr>
  </w:p>
  <w:p w14:paraId="0D8A2214" w14:textId="77777777" w:rsidR="005B4A79" w:rsidRDefault="005B4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ADE7" w14:textId="1827692D" w:rsidR="00FC28E3" w:rsidRDefault="00FC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94"/>
    <w:multiLevelType w:val="hybridMultilevel"/>
    <w:tmpl w:val="067C2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91C89"/>
    <w:multiLevelType w:val="hybridMultilevel"/>
    <w:tmpl w:val="FBF0D186"/>
    <w:lvl w:ilvl="0" w:tplc="524A710A">
      <w:start w:val="1"/>
      <w:numFmt w:val="bullet"/>
      <w:lvlText w:val=""/>
      <w:lvlJc w:val="left"/>
      <w:pPr>
        <w:ind w:left="1040" w:hanging="360"/>
      </w:pPr>
      <w:rPr>
        <w:rFonts w:ascii="Symbol" w:hAnsi="Symbol" w:hint="default"/>
        <w:color w:val="4472C4" w:themeColor="accent1"/>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hint="default"/>
      </w:rPr>
    </w:lvl>
  </w:abstractNum>
  <w:abstractNum w:abstractNumId="2" w15:restartNumberingAfterBreak="0">
    <w:nsid w:val="0BE1605A"/>
    <w:multiLevelType w:val="hybridMultilevel"/>
    <w:tmpl w:val="BFA4881E"/>
    <w:lvl w:ilvl="0" w:tplc="856623CA">
      <w:start w:val="1"/>
      <w:numFmt w:val="decimal"/>
      <w:lvlText w:val="%1."/>
      <w:lvlJc w:val="left"/>
      <w:pPr>
        <w:ind w:left="1400" w:hanging="720"/>
      </w:pPr>
      <w:rPr>
        <w:b/>
        <w:bCs/>
        <w:color w:val="ED7D31" w:themeColor="accent2"/>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 w15:restartNumberingAfterBreak="0">
    <w:nsid w:val="0D343C45"/>
    <w:multiLevelType w:val="hybridMultilevel"/>
    <w:tmpl w:val="26CE1320"/>
    <w:lvl w:ilvl="0" w:tplc="BE9286E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30314E"/>
    <w:multiLevelType w:val="hybridMultilevel"/>
    <w:tmpl w:val="9856C9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0F352C"/>
    <w:multiLevelType w:val="hybridMultilevel"/>
    <w:tmpl w:val="2CA409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817937"/>
    <w:multiLevelType w:val="multilevel"/>
    <w:tmpl w:val="3CD087C2"/>
    <w:styleLink w:val="NumbLstNumb"/>
    <w:lvl w:ilvl="0">
      <w:start w:val="1"/>
      <w:numFmt w:val="lowerRoman"/>
      <w:pStyle w:val="ExecSummPara"/>
      <w:lvlText w:val="%1."/>
      <w:lvlJc w:val="left"/>
      <w:pPr>
        <w:tabs>
          <w:tab w:val="num" w:pos="680"/>
        </w:tabs>
        <w:ind w:left="680" w:hanging="680"/>
      </w:pPr>
    </w:lvl>
    <w:lvl w:ilvl="1">
      <w:start w:val="1"/>
      <w:numFmt w:val="bullet"/>
      <w:pStyle w:val="Execsummbullet"/>
      <w:lvlText w:val=""/>
      <w:lvlJc w:val="left"/>
      <w:pPr>
        <w:tabs>
          <w:tab w:val="num" w:pos="1361"/>
        </w:tabs>
        <w:ind w:left="1361" w:hanging="681"/>
      </w:pPr>
      <w:rPr>
        <w:rFonts w:ascii="Symbol" w:hAnsi="Symbol" w:hint="default"/>
        <w:color w:val="FF5000"/>
        <w:sz w:val="18"/>
      </w:rPr>
    </w:lvl>
    <w:lvl w:ilvl="2">
      <w:start w:val="1"/>
      <w:numFmt w:val="decimal"/>
      <w:pStyle w:val="ExecSummTableTitle"/>
      <w:suff w:val="space"/>
      <w:lvlText w:val="Table %3"/>
      <w:lvlJc w:val="left"/>
      <w:pPr>
        <w:ind w:left="703" w:firstLine="0"/>
      </w:pPr>
    </w:lvl>
    <w:lvl w:ilvl="3">
      <w:start w:val="1"/>
      <w:numFmt w:val="none"/>
      <w:suff w:val="nothing"/>
      <w:lvlText w:val=""/>
      <w:lvlJc w:val="left"/>
      <w:pPr>
        <w:ind w:left="1361" w:firstLine="0"/>
      </w:pPr>
    </w:lvl>
    <w:lvl w:ilvl="4">
      <w:start w:val="1"/>
      <w:numFmt w:val="none"/>
      <w:suff w:val="nothing"/>
      <w:lvlText w:val=""/>
      <w:lvlJc w:val="left"/>
      <w:pPr>
        <w:ind w:left="1361" w:firstLine="0"/>
      </w:pPr>
    </w:lvl>
    <w:lvl w:ilvl="5">
      <w:start w:val="1"/>
      <w:numFmt w:val="none"/>
      <w:suff w:val="nothing"/>
      <w:lvlText w:val=""/>
      <w:lvlJc w:val="left"/>
      <w:pPr>
        <w:ind w:left="1361" w:firstLine="0"/>
      </w:pPr>
    </w:lvl>
    <w:lvl w:ilvl="6">
      <w:start w:val="1"/>
      <w:numFmt w:val="none"/>
      <w:suff w:val="nothing"/>
      <w:lvlText w:val=""/>
      <w:lvlJc w:val="left"/>
      <w:pPr>
        <w:ind w:left="1361" w:firstLine="0"/>
      </w:pPr>
    </w:lvl>
    <w:lvl w:ilvl="7">
      <w:start w:val="1"/>
      <w:numFmt w:val="none"/>
      <w:suff w:val="nothing"/>
      <w:lvlText w:val=""/>
      <w:lvlJc w:val="left"/>
      <w:pPr>
        <w:ind w:left="1361" w:firstLine="0"/>
      </w:pPr>
    </w:lvl>
    <w:lvl w:ilvl="8">
      <w:start w:val="1"/>
      <w:numFmt w:val="none"/>
      <w:suff w:val="nothing"/>
      <w:lvlText w:val=""/>
      <w:lvlJc w:val="left"/>
      <w:pPr>
        <w:ind w:left="1361" w:firstLine="0"/>
      </w:pPr>
    </w:lvl>
  </w:abstractNum>
  <w:abstractNum w:abstractNumId="7" w15:restartNumberingAfterBreak="0">
    <w:nsid w:val="285344B1"/>
    <w:multiLevelType w:val="hybridMultilevel"/>
    <w:tmpl w:val="0B10BC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401F21"/>
    <w:multiLevelType w:val="hybridMultilevel"/>
    <w:tmpl w:val="D1AE768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3E3F0E"/>
    <w:multiLevelType w:val="hybridMultilevel"/>
    <w:tmpl w:val="2A568AEA"/>
    <w:lvl w:ilvl="0" w:tplc="C6321926">
      <w:start w:val="1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234E15"/>
    <w:multiLevelType w:val="hybridMultilevel"/>
    <w:tmpl w:val="73B669F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7394345"/>
    <w:multiLevelType w:val="hybridMultilevel"/>
    <w:tmpl w:val="CF36C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256203"/>
    <w:multiLevelType w:val="hybridMultilevel"/>
    <w:tmpl w:val="B2C83258"/>
    <w:lvl w:ilvl="0" w:tplc="524A710A">
      <w:start w:val="1"/>
      <w:numFmt w:val="bullet"/>
      <w:lvlText w:val=""/>
      <w:lvlJc w:val="left"/>
      <w:pPr>
        <w:ind w:left="1040" w:hanging="360"/>
      </w:pPr>
      <w:rPr>
        <w:rFonts w:ascii="Symbol" w:hAnsi="Symbol" w:hint="default"/>
        <w:color w:val="4472C4" w:themeColor="accent1"/>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hint="default"/>
      </w:rPr>
    </w:lvl>
  </w:abstractNum>
  <w:abstractNum w:abstractNumId="13" w15:restartNumberingAfterBreak="0">
    <w:nsid w:val="3B9E6A31"/>
    <w:multiLevelType w:val="multilevel"/>
    <w:tmpl w:val="542810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Theme="minorHAnsi" w:eastAsiaTheme="minorHAnsi" w:hAnsiTheme="minorHAnsi" w:cstheme="minorHAnsi" w:hint="default"/>
        <w:b w:val="0"/>
        <w:bCs w:val="0"/>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4" w15:restartNumberingAfterBreak="0">
    <w:nsid w:val="43572D0C"/>
    <w:multiLevelType w:val="hybridMultilevel"/>
    <w:tmpl w:val="CE6C7F06"/>
    <w:lvl w:ilvl="0" w:tplc="849AA03C">
      <w:start w:val="1"/>
      <w:numFmt w:val="bullet"/>
      <w:lvlText w:val="•"/>
      <w:lvlJc w:val="left"/>
      <w:pPr>
        <w:tabs>
          <w:tab w:val="num" w:pos="720"/>
        </w:tabs>
        <w:ind w:left="720" w:hanging="360"/>
      </w:pPr>
      <w:rPr>
        <w:rFonts w:ascii="Arial" w:hAnsi="Arial" w:hint="default"/>
      </w:rPr>
    </w:lvl>
    <w:lvl w:ilvl="1" w:tplc="C8B20B5C" w:tentative="1">
      <w:start w:val="1"/>
      <w:numFmt w:val="bullet"/>
      <w:lvlText w:val="•"/>
      <w:lvlJc w:val="left"/>
      <w:pPr>
        <w:tabs>
          <w:tab w:val="num" w:pos="1440"/>
        </w:tabs>
        <w:ind w:left="1440" w:hanging="360"/>
      </w:pPr>
      <w:rPr>
        <w:rFonts w:ascii="Arial" w:hAnsi="Arial" w:hint="default"/>
      </w:rPr>
    </w:lvl>
    <w:lvl w:ilvl="2" w:tplc="35623990" w:tentative="1">
      <w:start w:val="1"/>
      <w:numFmt w:val="bullet"/>
      <w:lvlText w:val="•"/>
      <w:lvlJc w:val="left"/>
      <w:pPr>
        <w:tabs>
          <w:tab w:val="num" w:pos="2160"/>
        </w:tabs>
        <w:ind w:left="2160" w:hanging="360"/>
      </w:pPr>
      <w:rPr>
        <w:rFonts w:ascii="Arial" w:hAnsi="Arial" w:hint="default"/>
      </w:rPr>
    </w:lvl>
    <w:lvl w:ilvl="3" w:tplc="AF5037E6" w:tentative="1">
      <w:start w:val="1"/>
      <w:numFmt w:val="bullet"/>
      <w:lvlText w:val="•"/>
      <w:lvlJc w:val="left"/>
      <w:pPr>
        <w:tabs>
          <w:tab w:val="num" w:pos="2880"/>
        </w:tabs>
        <w:ind w:left="2880" w:hanging="360"/>
      </w:pPr>
      <w:rPr>
        <w:rFonts w:ascii="Arial" w:hAnsi="Arial" w:hint="default"/>
      </w:rPr>
    </w:lvl>
    <w:lvl w:ilvl="4" w:tplc="FD30E3F0" w:tentative="1">
      <w:start w:val="1"/>
      <w:numFmt w:val="bullet"/>
      <w:lvlText w:val="•"/>
      <w:lvlJc w:val="left"/>
      <w:pPr>
        <w:tabs>
          <w:tab w:val="num" w:pos="3600"/>
        </w:tabs>
        <w:ind w:left="3600" w:hanging="360"/>
      </w:pPr>
      <w:rPr>
        <w:rFonts w:ascii="Arial" w:hAnsi="Arial" w:hint="default"/>
      </w:rPr>
    </w:lvl>
    <w:lvl w:ilvl="5" w:tplc="E988BF0E" w:tentative="1">
      <w:start w:val="1"/>
      <w:numFmt w:val="bullet"/>
      <w:lvlText w:val="•"/>
      <w:lvlJc w:val="left"/>
      <w:pPr>
        <w:tabs>
          <w:tab w:val="num" w:pos="4320"/>
        </w:tabs>
        <w:ind w:left="4320" w:hanging="360"/>
      </w:pPr>
      <w:rPr>
        <w:rFonts w:ascii="Arial" w:hAnsi="Arial" w:hint="default"/>
      </w:rPr>
    </w:lvl>
    <w:lvl w:ilvl="6" w:tplc="33103C68" w:tentative="1">
      <w:start w:val="1"/>
      <w:numFmt w:val="bullet"/>
      <w:lvlText w:val="•"/>
      <w:lvlJc w:val="left"/>
      <w:pPr>
        <w:tabs>
          <w:tab w:val="num" w:pos="5040"/>
        </w:tabs>
        <w:ind w:left="5040" w:hanging="360"/>
      </w:pPr>
      <w:rPr>
        <w:rFonts w:ascii="Arial" w:hAnsi="Arial" w:hint="default"/>
      </w:rPr>
    </w:lvl>
    <w:lvl w:ilvl="7" w:tplc="BFD257B6" w:tentative="1">
      <w:start w:val="1"/>
      <w:numFmt w:val="bullet"/>
      <w:lvlText w:val="•"/>
      <w:lvlJc w:val="left"/>
      <w:pPr>
        <w:tabs>
          <w:tab w:val="num" w:pos="5760"/>
        </w:tabs>
        <w:ind w:left="5760" w:hanging="360"/>
      </w:pPr>
      <w:rPr>
        <w:rFonts w:ascii="Arial" w:hAnsi="Arial" w:hint="default"/>
      </w:rPr>
    </w:lvl>
    <w:lvl w:ilvl="8" w:tplc="636230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3A17AB"/>
    <w:multiLevelType w:val="hybridMultilevel"/>
    <w:tmpl w:val="39ACED52"/>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0075ED0"/>
    <w:multiLevelType w:val="hybridMultilevel"/>
    <w:tmpl w:val="4E685096"/>
    <w:lvl w:ilvl="0" w:tplc="524A710A">
      <w:start w:val="1"/>
      <w:numFmt w:val="bullet"/>
      <w:lvlText w:val=""/>
      <w:lvlJc w:val="left"/>
      <w:pPr>
        <w:ind w:left="1040" w:hanging="360"/>
      </w:pPr>
      <w:rPr>
        <w:rFonts w:ascii="Symbol" w:hAnsi="Symbol" w:hint="default"/>
        <w:color w:val="4472C4" w:themeColor="accent1"/>
      </w:rPr>
    </w:lvl>
    <w:lvl w:ilvl="1" w:tplc="04090003">
      <w:start w:val="1"/>
      <w:numFmt w:val="bullet"/>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start w:val="1"/>
      <w:numFmt w:val="bullet"/>
      <w:lvlText w:val=""/>
      <w:lvlJc w:val="left"/>
      <w:pPr>
        <w:ind w:left="4640" w:hanging="360"/>
      </w:pPr>
      <w:rPr>
        <w:rFonts w:ascii="Wingdings" w:hAnsi="Wingdings" w:hint="default"/>
      </w:rPr>
    </w:lvl>
    <w:lvl w:ilvl="6" w:tplc="04090001">
      <w:start w:val="1"/>
      <w:numFmt w:val="bullet"/>
      <w:lvlText w:val=""/>
      <w:lvlJc w:val="left"/>
      <w:pPr>
        <w:ind w:left="5360" w:hanging="360"/>
      </w:pPr>
      <w:rPr>
        <w:rFonts w:ascii="Symbol" w:hAnsi="Symbol" w:hint="default"/>
      </w:rPr>
    </w:lvl>
    <w:lvl w:ilvl="7" w:tplc="04090003">
      <w:start w:val="1"/>
      <w:numFmt w:val="bullet"/>
      <w:lvlText w:val="o"/>
      <w:lvlJc w:val="left"/>
      <w:pPr>
        <w:ind w:left="6080" w:hanging="360"/>
      </w:pPr>
      <w:rPr>
        <w:rFonts w:ascii="Courier New" w:hAnsi="Courier New" w:cs="Courier New" w:hint="default"/>
      </w:rPr>
    </w:lvl>
    <w:lvl w:ilvl="8" w:tplc="04090005">
      <w:start w:val="1"/>
      <w:numFmt w:val="bullet"/>
      <w:lvlText w:val=""/>
      <w:lvlJc w:val="left"/>
      <w:pPr>
        <w:ind w:left="6800" w:hanging="360"/>
      </w:pPr>
      <w:rPr>
        <w:rFonts w:ascii="Wingdings" w:hAnsi="Wingdings" w:hint="default"/>
      </w:rPr>
    </w:lvl>
  </w:abstractNum>
  <w:abstractNum w:abstractNumId="17" w15:restartNumberingAfterBreak="0">
    <w:nsid w:val="501F7DE8"/>
    <w:multiLevelType w:val="hybridMultilevel"/>
    <w:tmpl w:val="F6B41D56"/>
    <w:lvl w:ilvl="0" w:tplc="D464A68C">
      <w:start w:val="1"/>
      <w:numFmt w:val="decimal"/>
      <w:lvlText w:val="%1."/>
      <w:lvlJc w:val="left"/>
      <w:pPr>
        <w:tabs>
          <w:tab w:val="num" w:pos="720"/>
        </w:tabs>
        <w:ind w:left="720" w:hanging="360"/>
      </w:pPr>
    </w:lvl>
    <w:lvl w:ilvl="1" w:tplc="C14ADC0C" w:tentative="1">
      <w:start w:val="1"/>
      <w:numFmt w:val="decimal"/>
      <w:lvlText w:val="%2."/>
      <w:lvlJc w:val="left"/>
      <w:pPr>
        <w:tabs>
          <w:tab w:val="num" w:pos="1440"/>
        </w:tabs>
        <w:ind w:left="1440" w:hanging="360"/>
      </w:pPr>
    </w:lvl>
    <w:lvl w:ilvl="2" w:tplc="68F29E22" w:tentative="1">
      <w:start w:val="1"/>
      <w:numFmt w:val="decimal"/>
      <w:lvlText w:val="%3."/>
      <w:lvlJc w:val="left"/>
      <w:pPr>
        <w:tabs>
          <w:tab w:val="num" w:pos="2160"/>
        </w:tabs>
        <w:ind w:left="2160" w:hanging="360"/>
      </w:pPr>
    </w:lvl>
    <w:lvl w:ilvl="3" w:tplc="1ECE2208" w:tentative="1">
      <w:start w:val="1"/>
      <w:numFmt w:val="decimal"/>
      <w:lvlText w:val="%4."/>
      <w:lvlJc w:val="left"/>
      <w:pPr>
        <w:tabs>
          <w:tab w:val="num" w:pos="2880"/>
        </w:tabs>
        <w:ind w:left="2880" w:hanging="360"/>
      </w:pPr>
    </w:lvl>
    <w:lvl w:ilvl="4" w:tplc="06D698DC" w:tentative="1">
      <w:start w:val="1"/>
      <w:numFmt w:val="decimal"/>
      <w:lvlText w:val="%5."/>
      <w:lvlJc w:val="left"/>
      <w:pPr>
        <w:tabs>
          <w:tab w:val="num" w:pos="3600"/>
        </w:tabs>
        <w:ind w:left="3600" w:hanging="360"/>
      </w:pPr>
    </w:lvl>
    <w:lvl w:ilvl="5" w:tplc="94BA0BA2" w:tentative="1">
      <w:start w:val="1"/>
      <w:numFmt w:val="decimal"/>
      <w:lvlText w:val="%6."/>
      <w:lvlJc w:val="left"/>
      <w:pPr>
        <w:tabs>
          <w:tab w:val="num" w:pos="4320"/>
        </w:tabs>
        <w:ind w:left="4320" w:hanging="360"/>
      </w:pPr>
    </w:lvl>
    <w:lvl w:ilvl="6" w:tplc="84B0F772" w:tentative="1">
      <w:start w:val="1"/>
      <w:numFmt w:val="decimal"/>
      <w:lvlText w:val="%7."/>
      <w:lvlJc w:val="left"/>
      <w:pPr>
        <w:tabs>
          <w:tab w:val="num" w:pos="5040"/>
        </w:tabs>
        <w:ind w:left="5040" w:hanging="360"/>
      </w:pPr>
    </w:lvl>
    <w:lvl w:ilvl="7" w:tplc="9580D6C0" w:tentative="1">
      <w:start w:val="1"/>
      <w:numFmt w:val="decimal"/>
      <w:lvlText w:val="%8."/>
      <w:lvlJc w:val="left"/>
      <w:pPr>
        <w:tabs>
          <w:tab w:val="num" w:pos="5760"/>
        </w:tabs>
        <w:ind w:left="5760" w:hanging="360"/>
      </w:pPr>
    </w:lvl>
    <w:lvl w:ilvl="8" w:tplc="3FD8AC22" w:tentative="1">
      <w:start w:val="1"/>
      <w:numFmt w:val="decimal"/>
      <w:lvlText w:val="%9."/>
      <w:lvlJc w:val="left"/>
      <w:pPr>
        <w:tabs>
          <w:tab w:val="num" w:pos="6480"/>
        </w:tabs>
        <w:ind w:left="6480" w:hanging="360"/>
      </w:pPr>
    </w:lvl>
  </w:abstractNum>
  <w:abstractNum w:abstractNumId="18" w15:restartNumberingAfterBreak="0">
    <w:nsid w:val="51CA728C"/>
    <w:multiLevelType w:val="hybridMultilevel"/>
    <w:tmpl w:val="59929E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42082A"/>
    <w:multiLevelType w:val="hybridMultilevel"/>
    <w:tmpl w:val="4FD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6BCE"/>
    <w:multiLevelType w:val="hybridMultilevel"/>
    <w:tmpl w:val="D068D270"/>
    <w:lvl w:ilvl="0" w:tplc="997CAE0E">
      <w:start w:val="3"/>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593EAE"/>
    <w:multiLevelType w:val="hybridMultilevel"/>
    <w:tmpl w:val="A978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A516D"/>
    <w:multiLevelType w:val="hybridMultilevel"/>
    <w:tmpl w:val="03A081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D1748B"/>
    <w:multiLevelType w:val="hybridMultilevel"/>
    <w:tmpl w:val="B59CD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16504"/>
    <w:multiLevelType w:val="multilevel"/>
    <w:tmpl w:val="13D2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5" w15:restartNumberingAfterBreak="0">
    <w:nsid w:val="68EB600A"/>
    <w:multiLevelType w:val="hybridMultilevel"/>
    <w:tmpl w:val="5BEE1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3960AD2"/>
    <w:multiLevelType w:val="multilevel"/>
    <w:tmpl w:val="13D2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7" w15:restartNumberingAfterBreak="0">
    <w:nsid w:val="749955CE"/>
    <w:multiLevelType w:val="hybridMultilevel"/>
    <w:tmpl w:val="F098833A"/>
    <w:lvl w:ilvl="0" w:tplc="75720994">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9102907"/>
    <w:multiLevelType w:val="multilevel"/>
    <w:tmpl w:val="13D2B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9" w15:restartNumberingAfterBreak="0">
    <w:nsid w:val="7EBA6E99"/>
    <w:multiLevelType w:val="hybridMultilevel"/>
    <w:tmpl w:val="4B7E7E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777288312">
    <w:abstractNumId w:val="7"/>
  </w:num>
  <w:num w:numId="2" w16cid:durableId="202838834">
    <w:abstractNumId w:val="6"/>
  </w:num>
  <w:num w:numId="3" w16cid:durableId="7148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12605">
    <w:abstractNumId w:val="1"/>
  </w:num>
  <w:num w:numId="5" w16cid:durableId="825706434">
    <w:abstractNumId w:val="16"/>
  </w:num>
  <w:num w:numId="6" w16cid:durableId="676813645">
    <w:abstractNumId w:val="12"/>
  </w:num>
  <w:num w:numId="7" w16cid:durableId="560022461">
    <w:abstractNumId w:val="21"/>
  </w:num>
  <w:num w:numId="8" w16cid:durableId="1559442168">
    <w:abstractNumId w:val="5"/>
  </w:num>
  <w:num w:numId="9" w16cid:durableId="1316060464">
    <w:abstractNumId w:val="9"/>
  </w:num>
  <w:num w:numId="10" w16cid:durableId="1889954310">
    <w:abstractNumId w:val="13"/>
  </w:num>
  <w:num w:numId="11" w16cid:durableId="456604410">
    <w:abstractNumId w:val="28"/>
  </w:num>
  <w:num w:numId="12" w16cid:durableId="1446729249">
    <w:abstractNumId w:val="19"/>
  </w:num>
  <w:num w:numId="13" w16cid:durableId="1425764091">
    <w:abstractNumId w:val="26"/>
  </w:num>
  <w:num w:numId="14" w16cid:durableId="1036346943">
    <w:abstractNumId w:val="25"/>
  </w:num>
  <w:num w:numId="15" w16cid:durableId="1235815666">
    <w:abstractNumId w:val="20"/>
  </w:num>
  <w:num w:numId="16" w16cid:durableId="1321883633">
    <w:abstractNumId w:val="0"/>
  </w:num>
  <w:num w:numId="17" w16cid:durableId="1411080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191847">
    <w:abstractNumId w:val="14"/>
  </w:num>
  <w:num w:numId="19" w16cid:durableId="831604428">
    <w:abstractNumId w:val="3"/>
  </w:num>
  <w:num w:numId="20" w16cid:durableId="2001275216">
    <w:abstractNumId w:val="24"/>
  </w:num>
  <w:num w:numId="21" w16cid:durableId="915942347">
    <w:abstractNumId w:val="17"/>
  </w:num>
  <w:num w:numId="22" w16cid:durableId="1298141279">
    <w:abstractNumId w:val="11"/>
  </w:num>
  <w:num w:numId="23" w16cid:durableId="1050878654">
    <w:abstractNumId w:val="4"/>
  </w:num>
  <w:num w:numId="24" w16cid:durableId="456677603">
    <w:abstractNumId w:val="18"/>
  </w:num>
  <w:num w:numId="25" w16cid:durableId="1145273433">
    <w:abstractNumId w:val="27"/>
  </w:num>
  <w:num w:numId="26" w16cid:durableId="1159421559">
    <w:abstractNumId w:val="10"/>
  </w:num>
  <w:num w:numId="27" w16cid:durableId="485099198">
    <w:abstractNumId w:val="22"/>
  </w:num>
  <w:num w:numId="28" w16cid:durableId="872963862">
    <w:abstractNumId w:val="15"/>
  </w:num>
  <w:num w:numId="29" w16cid:durableId="876044012">
    <w:abstractNumId w:val="23"/>
  </w:num>
  <w:num w:numId="30" w16cid:durableId="1907108018">
    <w:abstractNumId w:val="29"/>
  </w:num>
  <w:num w:numId="31" w16cid:durableId="13827077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79"/>
    <w:rsid w:val="00002F57"/>
    <w:rsid w:val="00011765"/>
    <w:rsid w:val="00011949"/>
    <w:rsid w:val="000168DA"/>
    <w:rsid w:val="00020EF9"/>
    <w:rsid w:val="0002150E"/>
    <w:rsid w:val="00022442"/>
    <w:rsid w:val="000224D5"/>
    <w:rsid w:val="000318DB"/>
    <w:rsid w:val="00032443"/>
    <w:rsid w:val="00034807"/>
    <w:rsid w:val="00035AEF"/>
    <w:rsid w:val="0003720F"/>
    <w:rsid w:val="000407C2"/>
    <w:rsid w:val="00040B1F"/>
    <w:rsid w:val="00041FB6"/>
    <w:rsid w:val="00042293"/>
    <w:rsid w:val="0004499B"/>
    <w:rsid w:val="000544E5"/>
    <w:rsid w:val="000574BF"/>
    <w:rsid w:val="0006146E"/>
    <w:rsid w:val="00072815"/>
    <w:rsid w:val="00072934"/>
    <w:rsid w:val="00073D92"/>
    <w:rsid w:val="000744BB"/>
    <w:rsid w:val="00076F2F"/>
    <w:rsid w:val="00080C15"/>
    <w:rsid w:val="00082978"/>
    <w:rsid w:val="00093A18"/>
    <w:rsid w:val="000953D5"/>
    <w:rsid w:val="000A2CF2"/>
    <w:rsid w:val="000A385F"/>
    <w:rsid w:val="000A3A98"/>
    <w:rsid w:val="000A676B"/>
    <w:rsid w:val="000B0E08"/>
    <w:rsid w:val="000B37EA"/>
    <w:rsid w:val="000B47BA"/>
    <w:rsid w:val="000C08A7"/>
    <w:rsid w:val="000C1165"/>
    <w:rsid w:val="000C4D94"/>
    <w:rsid w:val="000C68DD"/>
    <w:rsid w:val="000C73A8"/>
    <w:rsid w:val="000D25E1"/>
    <w:rsid w:val="000D47DD"/>
    <w:rsid w:val="000D7908"/>
    <w:rsid w:val="000E3AEB"/>
    <w:rsid w:val="000E3ED3"/>
    <w:rsid w:val="000E4DE1"/>
    <w:rsid w:val="000E56D1"/>
    <w:rsid w:val="000F28A8"/>
    <w:rsid w:val="00100D9D"/>
    <w:rsid w:val="00105471"/>
    <w:rsid w:val="001101C4"/>
    <w:rsid w:val="00113698"/>
    <w:rsid w:val="00114C90"/>
    <w:rsid w:val="00115642"/>
    <w:rsid w:val="001161B9"/>
    <w:rsid w:val="00117D63"/>
    <w:rsid w:val="00122CC0"/>
    <w:rsid w:val="0012321B"/>
    <w:rsid w:val="00125956"/>
    <w:rsid w:val="00126064"/>
    <w:rsid w:val="00126FF8"/>
    <w:rsid w:val="00131106"/>
    <w:rsid w:val="00135095"/>
    <w:rsid w:val="00135CFF"/>
    <w:rsid w:val="00143D7C"/>
    <w:rsid w:val="001460E5"/>
    <w:rsid w:val="0014693B"/>
    <w:rsid w:val="0015379E"/>
    <w:rsid w:val="0015423F"/>
    <w:rsid w:val="001637FC"/>
    <w:rsid w:val="00167BEC"/>
    <w:rsid w:val="00167E11"/>
    <w:rsid w:val="0017701C"/>
    <w:rsid w:val="001778DF"/>
    <w:rsid w:val="00182FE5"/>
    <w:rsid w:val="00183A93"/>
    <w:rsid w:val="00190183"/>
    <w:rsid w:val="00192FCF"/>
    <w:rsid w:val="00193888"/>
    <w:rsid w:val="0019419C"/>
    <w:rsid w:val="00196663"/>
    <w:rsid w:val="001970F1"/>
    <w:rsid w:val="00197373"/>
    <w:rsid w:val="001A0808"/>
    <w:rsid w:val="001A2DF9"/>
    <w:rsid w:val="001A6DDA"/>
    <w:rsid w:val="001B2AC5"/>
    <w:rsid w:val="001B59D5"/>
    <w:rsid w:val="001C1A51"/>
    <w:rsid w:val="001C34A0"/>
    <w:rsid w:val="001D09D0"/>
    <w:rsid w:val="001D6A46"/>
    <w:rsid w:val="001E2A76"/>
    <w:rsid w:val="001E59E3"/>
    <w:rsid w:val="001E6E78"/>
    <w:rsid w:val="001F2150"/>
    <w:rsid w:val="001F55D7"/>
    <w:rsid w:val="001F64AC"/>
    <w:rsid w:val="0020264A"/>
    <w:rsid w:val="00202C14"/>
    <w:rsid w:val="0020413A"/>
    <w:rsid w:val="002115DF"/>
    <w:rsid w:val="00211D20"/>
    <w:rsid w:val="00213C88"/>
    <w:rsid w:val="00216FB3"/>
    <w:rsid w:val="00217237"/>
    <w:rsid w:val="00221F9A"/>
    <w:rsid w:val="002222E2"/>
    <w:rsid w:val="002224B0"/>
    <w:rsid w:val="0022393E"/>
    <w:rsid w:val="00225F19"/>
    <w:rsid w:val="00226D54"/>
    <w:rsid w:val="002300DB"/>
    <w:rsid w:val="00232636"/>
    <w:rsid w:val="002353C4"/>
    <w:rsid w:val="0023591F"/>
    <w:rsid w:val="002365DD"/>
    <w:rsid w:val="00246838"/>
    <w:rsid w:val="00247685"/>
    <w:rsid w:val="00250256"/>
    <w:rsid w:val="00251EC9"/>
    <w:rsid w:val="00252EAD"/>
    <w:rsid w:val="002540A4"/>
    <w:rsid w:val="0025574C"/>
    <w:rsid w:val="00257D6E"/>
    <w:rsid w:val="00260E81"/>
    <w:rsid w:val="00262CB7"/>
    <w:rsid w:val="00264EBB"/>
    <w:rsid w:val="00265797"/>
    <w:rsid w:val="00267F95"/>
    <w:rsid w:val="002718CC"/>
    <w:rsid w:val="002727B0"/>
    <w:rsid w:val="00272B33"/>
    <w:rsid w:val="0027534F"/>
    <w:rsid w:val="00275FFF"/>
    <w:rsid w:val="002806FD"/>
    <w:rsid w:val="00280943"/>
    <w:rsid w:val="002868A3"/>
    <w:rsid w:val="00290229"/>
    <w:rsid w:val="0029469A"/>
    <w:rsid w:val="002979CD"/>
    <w:rsid w:val="002A0733"/>
    <w:rsid w:val="002A3B85"/>
    <w:rsid w:val="002B07B2"/>
    <w:rsid w:val="002B297D"/>
    <w:rsid w:val="002B539F"/>
    <w:rsid w:val="002C34C1"/>
    <w:rsid w:val="002C4AF0"/>
    <w:rsid w:val="002C5443"/>
    <w:rsid w:val="002D00E0"/>
    <w:rsid w:val="002D05E7"/>
    <w:rsid w:val="002D4EE7"/>
    <w:rsid w:val="002D60ED"/>
    <w:rsid w:val="002D660A"/>
    <w:rsid w:val="002D7040"/>
    <w:rsid w:val="002D727B"/>
    <w:rsid w:val="002F1957"/>
    <w:rsid w:val="002F283E"/>
    <w:rsid w:val="002F48B0"/>
    <w:rsid w:val="002F4A66"/>
    <w:rsid w:val="002F5379"/>
    <w:rsid w:val="002F5571"/>
    <w:rsid w:val="002F7C98"/>
    <w:rsid w:val="00306681"/>
    <w:rsid w:val="00311303"/>
    <w:rsid w:val="00312AC5"/>
    <w:rsid w:val="00313CF6"/>
    <w:rsid w:val="003169FA"/>
    <w:rsid w:val="00320243"/>
    <w:rsid w:val="0032246F"/>
    <w:rsid w:val="00326D70"/>
    <w:rsid w:val="0032782E"/>
    <w:rsid w:val="00327AFF"/>
    <w:rsid w:val="00330FF6"/>
    <w:rsid w:val="00334E55"/>
    <w:rsid w:val="00335094"/>
    <w:rsid w:val="00336A1F"/>
    <w:rsid w:val="00343A27"/>
    <w:rsid w:val="00344783"/>
    <w:rsid w:val="00346E05"/>
    <w:rsid w:val="0034747A"/>
    <w:rsid w:val="00347B18"/>
    <w:rsid w:val="003509C6"/>
    <w:rsid w:val="00353C0F"/>
    <w:rsid w:val="003579C9"/>
    <w:rsid w:val="003608B1"/>
    <w:rsid w:val="00361353"/>
    <w:rsid w:val="00362841"/>
    <w:rsid w:val="003636F2"/>
    <w:rsid w:val="00367D33"/>
    <w:rsid w:val="0037026F"/>
    <w:rsid w:val="00372E66"/>
    <w:rsid w:val="003734FD"/>
    <w:rsid w:val="00380B64"/>
    <w:rsid w:val="00382C26"/>
    <w:rsid w:val="00385407"/>
    <w:rsid w:val="003913AF"/>
    <w:rsid w:val="00391999"/>
    <w:rsid w:val="003947EA"/>
    <w:rsid w:val="003A268B"/>
    <w:rsid w:val="003A2DD1"/>
    <w:rsid w:val="003A3148"/>
    <w:rsid w:val="003A5678"/>
    <w:rsid w:val="003A671A"/>
    <w:rsid w:val="003A69B7"/>
    <w:rsid w:val="003A7DAD"/>
    <w:rsid w:val="003B0944"/>
    <w:rsid w:val="003B2451"/>
    <w:rsid w:val="003B24C7"/>
    <w:rsid w:val="003B26D7"/>
    <w:rsid w:val="003B6D6C"/>
    <w:rsid w:val="003B71B7"/>
    <w:rsid w:val="003C158B"/>
    <w:rsid w:val="003C3D64"/>
    <w:rsid w:val="003C4BEB"/>
    <w:rsid w:val="003C59D6"/>
    <w:rsid w:val="003D0857"/>
    <w:rsid w:val="003D0A3C"/>
    <w:rsid w:val="003D53DC"/>
    <w:rsid w:val="003D5A59"/>
    <w:rsid w:val="003E0881"/>
    <w:rsid w:val="003E3299"/>
    <w:rsid w:val="003E6831"/>
    <w:rsid w:val="003E71B6"/>
    <w:rsid w:val="003E74A0"/>
    <w:rsid w:val="003E7999"/>
    <w:rsid w:val="003F0C86"/>
    <w:rsid w:val="003F2757"/>
    <w:rsid w:val="003F5F9A"/>
    <w:rsid w:val="003F6362"/>
    <w:rsid w:val="004003C9"/>
    <w:rsid w:val="00401E8C"/>
    <w:rsid w:val="004023CC"/>
    <w:rsid w:val="004243D8"/>
    <w:rsid w:val="00424424"/>
    <w:rsid w:val="00426F33"/>
    <w:rsid w:val="004279D5"/>
    <w:rsid w:val="00431855"/>
    <w:rsid w:val="004364BD"/>
    <w:rsid w:val="00450567"/>
    <w:rsid w:val="004612E4"/>
    <w:rsid w:val="00461ECD"/>
    <w:rsid w:val="0046592A"/>
    <w:rsid w:val="004705BC"/>
    <w:rsid w:val="0047121C"/>
    <w:rsid w:val="00471FD6"/>
    <w:rsid w:val="00472A5F"/>
    <w:rsid w:val="00475492"/>
    <w:rsid w:val="0047712A"/>
    <w:rsid w:val="004804EC"/>
    <w:rsid w:val="004815CA"/>
    <w:rsid w:val="0048394E"/>
    <w:rsid w:val="00486567"/>
    <w:rsid w:val="00487111"/>
    <w:rsid w:val="00490BDE"/>
    <w:rsid w:val="00497807"/>
    <w:rsid w:val="004A1721"/>
    <w:rsid w:val="004A2CB1"/>
    <w:rsid w:val="004A347B"/>
    <w:rsid w:val="004A45CF"/>
    <w:rsid w:val="004A5449"/>
    <w:rsid w:val="004B1A07"/>
    <w:rsid w:val="004B501B"/>
    <w:rsid w:val="004B78C8"/>
    <w:rsid w:val="004C1545"/>
    <w:rsid w:val="004C3D63"/>
    <w:rsid w:val="004C42B7"/>
    <w:rsid w:val="004D4886"/>
    <w:rsid w:val="004D69F4"/>
    <w:rsid w:val="004E120A"/>
    <w:rsid w:val="004E5A18"/>
    <w:rsid w:val="004E6131"/>
    <w:rsid w:val="004E699D"/>
    <w:rsid w:val="004E7767"/>
    <w:rsid w:val="004F31E0"/>
    <w:rsid w:val="004F78DA"/>
    <w:rsid w:val="005134C5"/>
    <w:rsid w:val="00514EEB"/>
    <w:rsid w:val="005235EE"/>
    <w:rsid w:val="00532A83"/>
    <w:rsid w:val="00533B45"/>
    <w:rsid w:val="00535AE2"/>
    <w:rsid w:val="00535DE7"/>
    <w:rsid w:val="00536672"/>
    <w:rsid w:val="005411A4"/>
    <w:rsid w:val="0054286E"/>
    <w:rsid w:val="0054565C"/>
    <w:rsid w:val="005464FB"/>
    <w:rsid w:val="005520D4"/>
    <w:rsid w:val="00553F16"/>
    <w:rsid w:val="00557DDB"/>
    <w:rsid w:val="00557EDF"/>
    <w:rsid w:val="00560770"/>
    <w:rsid w:val="0056756C"/>
    <w:rsid w:val="0056768C"/>
    <w:rsid w:val="00574942"/>
    <w:rsid w:val="00574BF5"/>
    <w:rsid w:val="00575715"/>
    <w:rsid w:val="005829C8"/>
    <w:rsid w:val="0058369C"/>
    <w:rsid w:val="005839F1"/>
    <w:rsid w:val="00583CC7"/>
    <w:rsid w:val="00593DAD"/>
    <w:rsid w:val="00595707"/>
    <w:rsid w:val="00595D1B"/>
    <w:rsid w:val="00596976"/>
    <w:rsid w:val="005A081A"/>
    <w:rsid w:val="005A238A"/>
    <w:rsid w:val="005A474A"/>
    <w:rsid w:val="005A4ED0"/>
    <w:rsid w:val="005B4A79"/>
    <w:rsid w:val="005B7FF8"/>
    <w:rsid w:val="005C0776"/>
    <w:rsid w:val="005C6097"/>
    <w:rsid w:val="005D035B"/>
    <w:rsid w:val="005D7301"/>
    <w:rsid w:val="005D7BEA"/>
    <w:rsid w:val="005E28BB"/>
    <w:rsid w:val="005E31F6"/>
    <w:rsid w:val="005E3C36"/>
    <w:rsid w:val="005E682C"/>
    <w:rsid w:val="005E6C23"/>
    <w:rsid w:val="005F1F40"/>
    <w:rsid w:val="005F5EC2"/>
    <w:rsid w:val="005F7274"/>
    <w:rsid w:val="005F7C6A"/>
    <w:rsid w:val="0060114B"/>
    <w:rsid w:val="00606D09"/>
    <w:rsid w:val="00610CDC"/>
    <w:rsid w:val="00613067"/>
    <w:rsid w:val="006140D4"/>
    <w:rsid w:val="00623415"/>
    <w:rsid w:val="00623C43"/>
    <w:rsid w:val="00625E6A"/>
    <w:rsid w:val="00626616"/>
    <w:rsid w:val="006268A1"/>
    <w:rsid w:val="00627463"/>
    <w:rsid w:val="006308EB"/>
    <w:rsid w:val="00630978"/>
    <w:rsid w:val="00640800"/>
    <w:rsid w:val="00653812"/>
    <w:rsid w:val="00654106"/>
    <w:rsid w:val="00654957"/>
    <w:rsid w:val="00656692"/>
    <w:rsid w:val="00657BA3"/>
    <w:rsid w:val="006608DE"/>
    <w:rsid w:val="00662C7D"/>
    <w:rsid w:val="00665991"/>
    <w:rsid w:val="00671A91"/>
    <w:rsid w:val="00673CC5"/>
    <w:rsid w:val="00675BC4"/>
    <w:rsid w:val="00675CEB"/>
    <w:rsid w:val="00680202"/>
    <w:rsid w:val="00682B00"/>
    <w:rsid w:val="00684B1F"/>
    <w:rsid w:val="00684DED"/>
    <w:rsid w:val="00686CD6"/>
    <w:rsid w:val="00690C8A"/>
    <w:rsid w:val="00691608"/>
    <w:rsid w:val="006930CF"/>
    <w:rsid w:val="00693BD4"/>
    <w:rsid w:val="00693ECF"/>
    <w:rsid w:val="00697E1B"/>
    <w:rsid w:val="006A1EEF"/>
    <w:rsid w:val="006A59CB"/>
    <w:rsid w:val="006A67E7"/>
    <w:rsid w:val="006A6A4D"/>
    <w:rsid w:val="006A7B5E"/>
    <w:rsid w:val="006B31AF"/>
    <w:rsid w:val="006B3541"/>
    <w:rsid w:val="006B54DF"/>
    <w:rsid w:val="006B6C57"/>
    <w:rsid w:val="006C2BC5"/>
    <w:rsid w:val="006C6FC1"/>
    <w:rsid w:val="006D07CE"/>
    <w:rsid w:val="006D30D1"/>
    <w:rsid w:val="006D5353"/>
    <w:rsid w:val="006E04EB"/>
    <w:rsid w:val="006E31FC"/>
    <w:rsid w:val="006E70D4"/>
    <w:rsid w:val="006F089E"/>
    <w:rsid w:val="006F1B8E"/>
    <w:rsid w:val="006F1C26"/>
    <w:rsid w:val="006F44CC"/>
    <w:rsid w:val="006F72FF"/>
    <w:rsid w:val="00703743"/>
    <w:rsid w:val="0071124E"/>
    <w:rsid w:val="00713B7D"/>
    <w:rsid w:val="00716B08"/>
    <w:rsid w:val="00717023"/>
    <w:rsid w:val="0072173D"/>
    <w:rsid w:val="00724019"/>
    <w:rsid w:val="00724BA7"/>
    <w:rsid w:val="00724DCE"/>
    <w:rsid w:val="00725A50"/>
    <w:rsid w:val="007330AC"/>
    <w:rsid w:val="00734555"/>
    <w:rsid w:val="00734898"/>
    <w:rsid w:val="00737FA1"/>
    <w:rsid w:val="0074039C"/>
    <w:rsid w:val="00740E5F"/>
    <w:rsid w:val="007431F0"/>
    <w:rsid w:val="007443E8"/>
    <w:rsid w:val="007451D6"/>
    <w:rsid w:val="007504F3"/>
    <w:rsid w:val="0075241E"/>
    <w:rsid w:val="007534FF"/>
    <w:rsid w:val="007548DF"/>
    <w:rsid w:val="00754B7C"/>
    <w:rsid w:val="007554D8"/>
    <w:rsid w:val="00760C4F"/>
    <w:rsid w:val="00761E0A"/>
    <w:rsid w:val="0076336C"/>
    <w:rsid w:val="00765697"/>
    <w:rsid w:val="007703BF"/>
    <w:rsid w:val="007714B6"/>
    <w:rsid w:val="0077217F"/>
    <w:rsid w:val="00772B4C"/>
    <w:rsid w:val="007749DD"/>
    <w:rsid w:val="00777728"/>
    <w:rsid w:val="0078024F"/>
    <w:rsid w:val="00780BCA"/>
    <w:rsid w:val="00785D87"/>
    <w:rsid w:val="007913FA"/>
    <w:rsid w:val="0079256E"/>
    <w:rsid w:val="007950E7"/>
    <w:rsid w:val="00795ECA"/>
    <w:rsid w:val="0079781A"/>
    <w:rsid w:val="00797E5F"/>
    <w:rsid w:val="007A1FA3"/>
    <w:rsid w:val="007A31B0"/>
    <w:rsid w:val="007A606F"/>
    <w:rsid w:val="007B12B3"/>
    <w:rsid w:val="007B3BDE"/>
    <w:rsid w:val="007B509C"/>
    <w:rsid w:val="007B7653"/>
    <w:rsid w:val="007B7F86"/>
    <w:rsid w:val="007C080F"/>
    <w:rsid w:val="007C0C4E"/>
    <w:rsid w:val="007C266B"/>
    <w:rsid w:val="007C35C0"/>
    <w:rsid w:val="007C6E14"/>
    <w:rsid w:val="007D0924"/>
    <w:rsid w:val="007D4442"/>
    <w:rsid w:val="007D5FDD"/>
    <w:rsid w:val="007D61D1"/>
    <w:rsid w:val="007D7973"/>
    <w:rsid w:val="007E01FD"/>
    <w:rsid w:val="007E1A64"/>
    <w:rsid w:val="007E5C22"/>
    <w:rsid w:val="007F0A8C"/>
    <w:rsid w:val="00806804"/>
    <w:rsid w:val="00813D54"/>
    <w:rsid w:val="00815CBF"/>
    <w:rsid w:val="008161BD"/>
    <w:rsid w:val="00820558"/>
    <w:rsid w:val="0082619E"/>
    <w:rsid w:val="00830C98"/>
    <w:rsid w:val="008345CE"/>
    <w:rsid w:val="008347EC"/>
    <w:rsid w:val="00834979"/>
    <w:rsid w:val="008442F6"/>
    <w:rsid w:val="008478D9"/>
    <w:rsid w:val="0085360E"/>
    <w:rsid w:val="00853A7A"/>
    <w:rsid w:val="00854408"/>
    <w:rsid w:val="00854E04"/>
    <w:rsid w:val="00855010"/>
    <w:rsid w:val="008617D3"/>
    <w:rsid w:val="0086232B"/>
    <w:rsid w:val="00863C5D"/>
    <w:rsid w:val="00863E2B"/>
    <w:rsid w:val="00873C79"/>
    <w:rsid w:val="00876535"/>
    <w:rsid w:val="00877FDB"/>
    <w:rsid w:val="0088408A"/>
    <w:rsid w:val="00884853"/>
    <w:rsid w:val="00885051"/>
    <w:rsid w:val="00885298"/>
    <w:rsid w:val="008971F0"/>
    <w:rsid w:val="00897EF1"/>
    <w:rsid w:val="008A0AEA"/>
    <w:rsid w:val="008A1C2C"/>
    <w:rsid w:val="008A2451"/>
    <w:rsid w:val="008A5590"/>
    <w:rsid w:val="008A79C8"/>
    <w:rsid w:val="008B0FDF"/>
    <w:rsid w:val="008B48AD"/>
    <w:rsid w:val="008B5D23"/>
    <w:rsid w:val="008B78A2"/>
    <w:rsid w:val="008C285E"/>
    <w:rsid w:val="008C386D"/>
    <w:rsid w:val="008C6A59"/>
    <w:rsid w:val="008D04E5"/>
    <w:rsid w:val="008D73D9"/>
    <w:rsid w:val="008D7EFF"/>
    <w:rsid w:val="008E2236"/>
    <w:rsid w:val="008E57D9"/>
    <w:rsid w:val="008E5B61"/>
    <w:rsid w:val="008E6504"/>
    <w:rsid w:val="008F56C7"/>
    <w:rsid w:val="008F5CE2"/>
    <w:rsid w:val="008F6874"/>
    <w:rsid w:val="008F7CE0"/>
    <w:rsid w:val="0090089B"/>
    <w:rsid w:val="00902638"/>
    <w:rsid w:val="009031A9"/>
    <w:rsid w:val="00904548"/>
    <w:rsid w:val="00904BB5"/>
    <w:rsid w:val="00905F47"/>
    <w:rsid w:val="00907206"/>
    <w:rsid w:val="009079F2"/>
    <w:rsid w:val="00907B9D"/>
    <w:rsid w:val="00914733"/>
    <w:rsid w:val="00916009"/>
    <w:rsid w:val="00924F1D"/>
    <w:rsid w:val="00926F61"/>
    <w:rsid w:val="00927F5F"/>
    <w:rsid w:val="0093134C"/>
    <w:rsid w:val="00932245"/>
    <w:rsid w:val="009338BE"/>
    <w:rsid w:val="00933EC3"/>
    <w:rsid w:val="00935FF2"/>
    <w:rsid w:val="00937C39"/>
    <w:rsid w:val="0094333F"/>
    <w:rsid w:val="0094648F"/>
    <w:rsid w:val="00954A76"/>
    <w:rsid w:val="00975A16"/>
    <w:rsid w:val="00980CD0"/>
    <w:rsid w:val="00981431"/>
    <w:rsid w:val="00982B94"/>
    <w:rsid w:val="009854C2"/>
    <w:rsid w:val="0099214D"/>
    <w:rsid w:val="00997047"/>
    <w:rsid w:val="009A34CC"/>
    <w:rsid w:val="009A4D42"/>
    <w:rsid w:val="009A66C9"/>
    <w:rsid w:val="009B10BE"/>
    <w:rsid w:val="009B6668"/>
    <w:rsid w:val="009B7687"/>
    <w:rsid w:val="009C460A"/>
    <w:rsid w:val="009C4DEB"/>
    <w:rsid w:val="009C7A20"/>
    <w:rsid w:val="009D17A8"/>
    <w:rsid w:val="009D2DC1"/>
    <w:rsid w:val="009D37CC"/>
    <w:rsid w:val="009D5A00"/>
    <w:rsid w:val="009D6A59"/>
    <w:rsid w:val="009D6AC5"/>
    <w:rsid w:val="009E17E4"/>
    <w:rsid w:val="009E1FD7"/>
    <w:rsid w:val="009E741D"/>
    <w:rsid w:val="009E7B06"/>
    <w:rsid w:val="009F0CEF"/>
    <w:rsid w:val="009F14D1"/>
    <w:rsid w:val="009F48EE"/>
    <w:rsid w:val="009F4E36"/>
    <w:rsid w:val="009F6B18"/>
    <w:rsid w:val="009F6C94"/>
    <w:rsid w:val="009F7617"/>
    <w:rsid w:val="00A00552"/>
    <w:rsid w:val="00A0333F"/>
    <w:rsid w:val="00A0778D"/>
    <w:rsid w:val="00A07C5A"/>
    <w:rsid w:val="00A142D9"/>
    <w:rsid w:val="00A143D7"/>
    <w:rsid w:val="00A160E9"/>
    <w:rsid w:val="00A1753E"/>
    <w:rsid w:val="00A22534"/>
    <w:rsid w:val="00A23E54"/>
    <w:rsid w:val="00A248CA"/>
    <w:rsid w:val="00A27E59"/>
    <w:rsid w:val="00A40DFC"/>
    <w:rsid w:val="00A41FED"/>
    <w:rsid w:val="00A46917"/>
    <w:rsid w:val="00A50335"/>
    <w:rsid w:val="00A50606"/>
    <w:rsid w:val="00A50DE8"/>
    <w:rsid w:val="00A51F20"/>
    <w:rsid w:val="00A525A1"/>
    <w:rsid w:val="00A52F3F"/>
    <w:rsid w:val="00A600B0"/>
    <w:rsid w:val="00A63F0F"/>
    <w:rsid w:val="00A6477A"/>
    <w:rsid w:val="00A64A54"/>
    <w:rsid w:val="00A6756F"/>
    <w:rsid w:val="00A67EFB"/>
    <w:rsid w:val="00A7078B"/>
    <w:rsid w:val="00A71665"/>
    <w:rsid w:val="00A73C2E"/>
    <w:rsid w:val="00A76FA8"/>
    <w:rsid w:val="00A771F2"/>
    <w:rsid w:val="00A7735F"/>
    <w:rsid w:val="00A80C2E"/>
    <w:rsid w:val="00A83B30"/>
    <w:rsid w:val="00A86882"/>
    <w:rsid w:val="00A86E9F"/>
    <w:rsid w:val="00A90D23"/>
    <w:rsid w:val="00A91308"/>
    <w:rsid w:val="00A929E9"/>
    <w:rsid w:val="00AA0108"/>
    <w:rsid w:val="00AA02BD"/>
    <w:rsid w:val="00AA0FC5"/>
    <w:rsid w:val="00AA5D78"/>
    <w:rsid w:val="00AA6F55"/>
    <w:rsid w:val="00AB0079"/>
    <w:rsid w:val="00AB1944"/>
    <w:rsid w:val="00AB40A3"/>
    <w:rsid w:val="00AB6B65"/>
    <w:rsid w:val="00AC2265"/>
    <w:rsid w:val="00AC2861"/>
    <w:rsid w:val="00AC7E1B"/>
    <w:rsid w:val="00AD752A"/>
    <w:rsid w:val="00AE2414"/>
    <w:rsid w:val="00AE26F2"/>
    <w:rsid w:val="00AE54EC"/>
    <w:rsid w:val="00AE62B8"/>
    <w:rsid w:val="00AE669F"/>
    <w:rsid w:val="00AE6808"/>
    <w:rsid w:val="00AE73F1"/>
    <w:rsid w:val="00AF0127"/>
    <w:rsid w:val="00AF0CE9"/>
    <w:rsid w:val="00AF13DC"/>
    <w:rsid w:val="00AF5504"/>
    <w:rsid w:val="00AF5DE4"/>
    <w:rsid w:val="00AF6571"/>
    <w:rsid w:val="00AF6982"/>
    <w:rsid w:val="00AF7A21"/>
    <w:rsid w:val="00B00F89"/>
    <w:rsid w:val="00B146F5"/>
    <w:rsid w:val="00B22ED0"/>
    <w:rsid w:val="00B243B2"/>
    <w:rsid w:val="00B24598"/>
    <w:rsid w:val="00B35EFB"/>
    <w:rsid w:val="00B3681A"/>
    <w:rsid w:val="00B37615"/>
    <w:rsid w:val="00B37CC0"/>
    <w:rsid w:val="00B427AC"/>
    <w:rsid w:val="00B444D6"/>
    <w:rsid w:val="00B45AEA"/>
    <w:rsid w:val="00B5221A"/>
    <w:rsid w:val="00B544B1"/>
    <w:rsid w:val="00B54ECA"/>
    <w:rsid w:val="00B55E64"/>
    <w:rsid w:val="00B57E41"/>
    <w:rsid w:val="00B60A4F"/>
    <w:rsid w:val="00B6362F"/>
    <w:rsid w:val="00B771AA"/>
    <w:rsid w:val="00B77E77"/>
    <w:rsid w:val="00B8032F"/>
    <w:rsid w:val="00B807C7"/>
    <w:rsid w:val="00B8710B"/>
    <w:rsid w:val="00B90F4D"/>
    <w:rsid w:val="00B95926"/>
    <w:rsid w:val="00B95B42"/>
    <w:rsid w:val="00BA08C9"/>
    <w:rsid w:val="00BA47EA"/>
    <w:rsid w:val="00BA6385"/>
    <w:rsid w:val="00BA69C8"/>
    <w:rsid w:val="00BA773C"/>
    <w:rsid w:val="00BB0144"/>
    <w:rsid w:val="00BB28EC"/>
    <w:rsid w:val="00BC2F65"/>
    <w:rsid w:val="00BC6545"/>
    <w:rsid w:val="00BC74B0"/>
    <w:rsid w:val="00BD035F"/>
    <w:rsid w:val="00BD19F0"/>
    <w:rsid w:val="00BD2168"/>
    <w:rsid w:val="00BD24B3"/>
    <w:rsid w:val="00BD47B0"/>
    <w:rsid w:val="00BD4F4E"/>
    <w:rsid w:val="00BD7148"/>
    <w:rsid w:val="00BE2222"/>
    <w:rsid w:val="00BE37A1"/>
    <w:rsid w:val="00BE65CB"/>
    <w:rsid w:val="00BE7D4E"/>
    <w:rsid w:val="00BF02F3"/>
    <w:rsid w:val="00BF052B"/>
    <w:rsid w:val="00BF3725"/>
    <w:rsid w:val="00BF5057"/>
    <w:rsid w:val="00BF50C9"/>
    <w:rsid w:val="00BF5EA9"/>
    <w:rsid w:val="00BF6162"/>
    <w:rsid w:val="00BF69B7"/>
    <w:rsid w:val="00BF7548"/>
    <w:rsid w:val="00BF776B"/>
    <w:rsid w:val="00C01DDD"/>
    <w:rsid w:val="00C03972"/>
    <w:rsid w:val="00C06529"/>
    <w:rsid w:val="00C0684A"/>
    <w:rsid w:val="00C103AC"/>
    <w:rsid w:val="00C11C76"/>
    <w:rsid w:val="00C21249"/>
    <w:rsid w:val="00C21CA7"/>
    <w:rsid w:val="00C26016"/>
    <w:rsid w:val="00C26439"/>
    <w:rsid w:val="00C27849"/>
    <w:rsid w:val="00C361B2"/>
    <w:rsid w:val="00C376D9"/>
    <w:rsid w:val="00C440A2"/>
    <w:rsid w:val="00C461E5"/>
    <w:rsid w:val="00C46670"/>
    <w:rsid w:val="00C50AF9"/>
    <w:rsid w:val="00C5117C"/>
    <w:rsid w:val="00C551CC"/>
    <w:rsid w:val="00C631AB"/>
    <w:rsid w:val="00C66635"/>
    <w:rsid w:val="00C67FAB"/>
    <w:rsid w:val="00C71F42"/>
    <w:rsid w:val="00C72DC9"/>
    <w:rsid w:val="00C72E13"/>
    <w:rsid w:val="00C738D9"/>
    <w:rsid w:val="00C75110"/>
    <w:rsid w:val="00C760AE"/>
    <w:rsid w:val="00C76F4B"/>
    <w:rsid w:val="00C80634"/>
    <w:rsid w:val="00C812F7"/>
    <w:rsid w:val="00C86A10"/>
    <w:rsid w:val="00C90049"/>
    <w:rsid w:val="00C904A5"/>
    <w:rsid w:val="00C9111A"/>
    <w:rsid w:val="00C92F41"/>
    <w:rsid w:val="00C955EF"/>
    <w:rsid w:val="00C95F47"/>
    <w:rsid w:val="00C96FC0"/>
    <w:rsid w:val="00CA04AD"/>
    <w:rsid w:val="00CA084F"/>
    <w:rsid w:val="00CA54C3"/>
    <w:rsid w:val="00CB1F2A"/>
    <w:rsid w:val="00CB2BFB"/>
    <w:rsid w:val="00CB4988"/>
    <w:rsid w:val="00CC1891"/>
    <w:rsid w:val="00CC1BAF"/>
    <w:rsid w:val="00CC6F35"/>
    <w:rsid w:val="00CD05CD"/>
    <w:rsid w:val="00CD31EA"/>
    <w:rsid w:val="00CD392F"/>
    <w:rsid w:val="00CD3D07"/>
    <w:rsid w:val="00CD462F"/>
    <w:rsid w:val="00CD5335"/>
    <w:rsid w:val="00CD5AF9"/>
    <w:rsid w:val="00CD6E45"/>
    <w:rsid w:val="00CD795B"/>
    <w:rsid w:val="00CD7DFC"/>
    <w:rsid w:val="00CE5606"/>
    <w:rsid w:val="00CF1406"/>
    <w:rsid w:val="00CF340C"/>
    <w:rsid w:val="00D00F9E"/>
    <w:rsid w:val="00D02AD8"/>
    <w:rsid w:val="00D05142"/>
    <w:rsid w:val="00D06F87"/>
    <w:rsid w:val="00D117FD"/>
    <w:rsid w:val="00D14C43"/>
    <w:rsid w:val="00D14E87"/>
    <w:rsid w:val="00D17A93"/>
    <w:rsid w:val="00D22672"/>
    <w:rsid w:val="00D22F0A"/>
    <w:rsid w:val="00D2535A"/>
    <w:rsid w:val="00D26744"/>
    <w:rsid w:val="00D3010B"/>
    <w:rsid w:val="00D30C97"/>
    <w:rsid w:val="00D3214F"/>
    <w:rsid w:val="00D3258D"/>
    <w:rsid w:val="00D364BF"/>
    <w:rsid w:val="00D377DF"/>
    <w:rsid w:val="00D40A04"/>
    <w:rsid w:val="00D429A4"/>
    <w:rsid w:val="00D46D35"/>
    <w:rsid w:val="00D47EE0"/>
    <w:rsid w:val="00D50931"/>
    <w:rsid w:val="00D52E97"/>
    <w:rsid w:val="00D569CC"/>
    <w:rsid w:val="00D62E01"/>
    <w:rsid w:val="00D6639B"/>
    <w:rsid w:val="00D70368"/>
    <w:rsid w:val="00D7047E"/>
    <w:rsid w:val="00D74920"/>
    <w:rsid w:val="00D7574E"/>
    <w:rsid w:val="00D7595C"/>
    <w:rsid w:val="00D77D77"/>
    <w:rsid w:val="00D8282A"/>
    <w:rsid w:val="00D84BCC"/>
    <w:rsid w:val="00D85D38"/>
    <w:rsid w:val="00DA1DCC"/>
    <w:rsid w:val="00DA2F9C"/>
    <w:rsid w:val="00DA707F"/>
    <w:rsid w:val="00DA714A"/>
    <w:rsid w:val="00DA7DAA"/>
    <w:rsid w:val="00DB2467"/>
    <w:rsid w:val="00DB3C61"/>
    <w:rsid w:val="00DB7477"/>
    <w:rsid w:val="00DB7ABE"/>
    <w:rsid w:val="00DC2C74"/>
    <w:rsid w:val="00DC2FAA"/>
    <w:rsid w:val="00DC73FD"/>
    <w:rsid w:val="00DD62E7"/>
    <w:rsid w:val="00DD6374"/>
    <w:rsid w:val="00DE14C0"/>
    <w:rsid w:val="00DE2E0D"/>
    <w:rsid w:val="00DE64C0"/>
    <w:rsid w:val="00DF0510"/>
    <w:rsid w:val="00DF25FE"/>
    <w:rsid w:val="00DF315D"/>
    <w:rsid w:val="00DF6429"/>
    <w:rsid w:val="00E07C7F"/>
    <w:rsid w:val="00E12C69"/>
    <w:rsid w:val="00E15D69"/>
    <w:rsid w:val="00E1670E"/>
    <w:rsid w:val="00E20558"/>
    <w:rsid w:val="00E214B6"/>
    <w:rsid w:val="00E2169D"/>
    <w:rsid w:val="00E25C76"/>
    <w:rsid w:val="00E26ED5"/>
    <w:rsid w:val="00E27AFD"/>
    <w:rsid w:val="00E27EBB"/>
    <w:rsid w:val="00E30DF8"/>
    <w:rsid w:val="00E3276F"/>
    <w:rsid w:val="00E41BBE"/>
    <w:rsid w:val="00E42ED6"/>
    <w:rsid w:val="00E434ED"/>
    <w:rsid w:val="00E4469A"/>
    <w:rsid w:val="00E4688F"/>
    <w:rsid w:val="00E52291"/>
    <w:rsid w:val="00E53717"/>
    <w:rsid w:val="00E54AA4"/>
    <w:rsid w:val="00E54CFE"/>
    <w:rsid w:val="00E57384"/>
    <w:rsid w:val="00E6293F"/>
    <w:rsid w:val="00E62BE2"/>
    <w:rsid w:val="00E62D2B"/>
    <w:rsid w:val="00E62FE2"/>
    <w:rsid w:val="00E642B5"/>
    <w:rsid w:val="00E650B9"/>
    <w:rsid w:val="00E65559"/>
    <w:rsid w:val="00E66C52"/>
    <w:rsid w:val="00E66E31"/>
    <w:rsid w:val="00E7122B"/>
    <w:rsid w:val="00E74CBC"/>
    <w:rsid w:val="00E750E5"/>
    <w:rsid w:val="00E764E2"/>
    <w:rsid w:val="00E816DD"/>
    <w:rsid w:val="00E82B96"/>
    <w:rsid w:val="00E85ED8"/>
    <w:rsid w:val="00E87CD5"/>
    <w:rsid w:val="00E90BDF"/>
    <w:rsid w:val="00E914ED"/>
    <w:rsid w:val="00E93251"/>
    <w:rsid w:val="00E9476E"/>
    <w:rsid w:val="00E95E57"/>
    <w:rsid w:val="00E96F45"/>
    <w:rsid w:val="00EA014D"/>
    <w:rsid w:val="00EA1369"/>
    <w:rsid w:val="00EA6AA5"/>
    <w:rsid w:val="00EA7673"/>
    <w:rsid w:val="00EB225B"/>
    <w:rsid w:val="00EB2409"/>
    <w:rsid w:val="00EB3EA6"/>
    <w:rsid w:val="00EB58E1"/>
    <w:rsid w:val="00EB7619"/>
    <w:rsid w:val="00EC1D73"/>
    <w:rsid w:val="00EC30B3"/>
    <w:rsid w:val="00EC4878"/>
    <w:rsid w:val="00EC5B2E"/>
    <w:rsid w:val="00EC7F18"/>
    <w:rsid w:val="00ED2555"/>
    <w:rsid w:val="00ED39D0"/>
    <w:rsid w:val="00ED6BA3"/>
    <w:rsid w:val="00ED7949"/>
    <w:rsid w:val="00EE0AFD"/>
    <w:rsid w:val="00EE235F"/>
    <w:rsid w:val="00EE26FF"/>
    <w:rsid w:val="00EE467B"/>
    <w:rsid w:val="00EE50B8"/>
    <w:rsid w:val="00EE6C37"/>
    <w:rsid w:val="00EF0F4A"/>
    <w:rsid w:val="00EF13AB"/>
    <w:rsid w:val="00F05947"/>
    <w:rsid w:val="00F1217E"/>
    <w:rsid w:val="00F13A59"/>
    <w:rsid w:val="00F13C20"/>
    <w:rsid w:val="00F13F45"/>
    <w:rsid w:val="00F17B25"/>
    <w:rsid w:val="00F219B8"/>
    <w:rsid w:val="00F246B4"/>
    <w:rsid w:val="00F25707"/>
    <w:rsid w:val="00F25A1C"/>
    <w:rsid w:val="00F2790A"/>
    <w:rsid w:val="00F30553"/>
    <w:rsid w:val="00F33EA3"/>
    <w:rsid w:val="00F42D4A"/>
    <w:rsid w:val="00F50EC1"/>
    <w:rsid w:val="00F709E9"/>
    <w:rsid w:val="00F716A6"/>
    <w:rsid w:val="00F735DE"/>
    <w:rsid w:val="00F7553F"/>
    <w:rsid w:val="00F758E4"/>
    <w:rsid w:val="00F771FD"/>
    <w:rsid w:val="00F80AD5"/>
    <w:rsid w:val="00F81363"/>
    <w:rsid w:val="00F83634"/>
    <w:rsid w:val="00F84474"/>
    <w:rsid w:val="00F8610B"/>
    <w:rsid w:val="00F90B60"/>
    <w:rsid w:val="00F913B8"/>
    <w:rsid w:val="00F96108"/>
    <w:rsid w:val="00F96402"/>
    <w:rsid w:val="00F969F3"/>
    <w:rsid w:val="00FA0569"/>
    <w:rsid w:val="00FA148E"/>
    <w:rsid w:val="00FA2CD7"/>
    <w:rsid w:val="00FA3319"/>
    <w:rsid w:val="00FA47AE"/>
    <w:rsid w:val="00FA524B"/>
    <w:rsid w:val="00FA6BF9"/>
    <w:rsid w:val="00FB0348"/>
    <w:rsid w:val="00FB1245"/>
    <w:rsid w:val="00FB21D2"/>
    <w:rsid w:val="00FC0690"/>
    <w:rsid w:val="00FC06C3"/>
    <w:rsid w:val="00FC172B"/>
    <w:rsid w:val="00FC22FE"/>
    <w:rsid w:val="00FC28E3"/>
    <w:rsid w:val="00FC3A9A"/>
    <w:rsid w:val="00FC5B97"/>
    <w:rsid w:val="00FD06C9"/>
    <w:rsid w:val="00FD17A2"/>
    <w:rsid w:val="00FD1FC1"/>
    <w:rsid w:val="00FD6132"/>
    <w:rsid w:val="00FE07AE"/>
    <w:rsid w:val="00FE5EDF"/>
    <w:rsid w:val="00FE6F1C"/>
    <w:rsid w:val="00FF148E"/>
    <w:rsid w:val="00FF19C8"/>
    <w:rsid w:val="00FF2A50"/>
    <w:rsid w:val="00FF40DA"/>
    <w:rsid w:val="00FF5AD9"/>
    <w:rsid w:val="00FF5C09"/>
    <w:rsid w:val="00FF5F0A"/>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74DA7"/>
  <w15:chartTrackingRefBased/>
  <w15:docId w15:val="{B4E0ED41-26B6-4167-B950-C05D84CF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76F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79"/>
  </w:style>
  <w:style w:type="paragraph" w:styleId="Footer">
    <w:name w:val="footer"/>
    <w:basedOn w:val="Normal"/>
    <w:link w:val="FooterChar"/>
    <w:uiPriority w:val="99"/>
    <w:unhideWhenUsed/>
    <w:rsid w:val="005B4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79"/>
  </w:style>
  <w:style w:type="paragraph" w:styleId="NormalWeb">
    <w:name w:val="Normal (Web)"/>
    <w:basedOn w:val="Normal"/>
    <w:uiPriority w:val="99"/>
    <w:unhideWhenUsed/>
    <w:rsid w:val="00854E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4E04"/>
    <w:pPr>
      <w:spacing w:after="0" w:line="240" w:lineRule="auto"/>
    </w:pPr>
  </w:style>
  <w:style w:type="paragraph" w:styleId="ListParagraph">
    <w:name w:val="List Paragraph"/>
    <w:basedOn w:val="Normal"/>
    <w:uiPriority w:val="34"/>
    <w:qFormat/>
    <w:rsid w:val="007950E7"/>
    <w:pPr>
      <w:spacing w:after="0" w:line="240" w:lineRule="auto"/>
      <w:ind w:left="720"/>
      <w:contextualSpacing/>
    </w:pPr>
    <w:rPr>
      <w:rFonts w:ascii="Verdana" w:eastAsia="Calibri" w:hAnsi="Verdana" w:cs="Times New Roman"/>
      <w:sz w:val="24"/>
    </w:rPr>
  </w:style>
  <w:style w:type="paragraph" w:customStyle="1" w:styleId="Heading5NoNumb">
    <w:name w:val="Heading 5NoNumb"/>
    <w:basedOn w:val="Heading5"/>
    <w:uiPriority w:val="20"/>
    <w:qFormat/>
    <w:rsid w:val="00C76F4B"/>
    <w:pPr>
      <w:keepNext w:val="0"/>
      <w:keepLines w:val="0"/>
      <w:tabs>
        <w:tab w:val="num" w:pos="680"/>
      </w:tabs>
      <w:spacing w:before="120" w:after="120" w:line="240" w:lineRule="auto"/>
      <w:ind w:left="680"/>
      <w:jc w:val="both"/>
    </w:pPr>
    <w:rPr>
      <w:rFonts w:ascii="Source Sans Pro" w:eastAsia="Yu Gothic UI" w:hAnsi="Source Sans Pro" w:cs="Times New Roman"/>
      <w:color w:val="auto"/>
      <w:szCs w:val="44"/>
    </w:rPr>
  </w:style>
  <w:style w:type="character" w:customStyle="1" w:styleId="Heading5Char">
    <w:name w:val="Heading 5 Char"/>
    <w:basedOn w:val="DefaultParagraphFont"/>
    <w:link w:val="Heading5"/>
    <w:uiPriority w:val="9"/>
    <w:semiHidden/>
    <w:rsid w:val="00C76F4B"/>
    <w:rPr>
      <w:rFonts w:asciiTheme="majorHAnsi" w:eastAsiaTheme="majorEastAsia" w:hAnsiTheme="majorHAnsi" w:cstheme="majorBidi"/>
      <w:color w:val="2F5496" w:themeColor="accent1" w:themeShade="BF"/>
    </w:rPr>
  </w:style>
  <w:style w:type="paragraph" w:customStyle="1" w:styleId="ExecSummPara">
    <w:name w:val="Exec Summ Para"/>
    <w:basedOn w:val="Normal"/>
    <w:uiPriority w:val="19"/>
    <w:semiHidden/>
    <w:rsid w:val="00C76F4B"/>
    <w:pPr>
      <w:numPr>
        <w:numId w:val="2"/>
      </w:numPr>
      <w:spacing w:after="240" w:line="240" w:lineRule="auto"/>
      <w:jc w:val="both"/>
    </w:pPr>
    <w:rPr>
      <w:rFonts w:ascii="Source Sans Pro" w:hAnsi="Source Sans Pro" w:cs="Times New Roman"/>
    </w:rPr>
  </w:style>
  <w:style w:type="paragraph" w:customStyle="1" w:styleId="ExecSumm1">
    <w:name w:val="Exec Summ 1"/>
    <w:basedOn w:val="Heading1"/>
    <w:next w:val="ExecSummPara"/>
    <w:uiPriority w:val="16"/>
    <w:rsid w:val="00C76F4B"/>
    <w:pPr>
      <w:keepLines w:val="0"/>
      <w:spacing w:before="360" w:after="240" w:line="240" w:lineRule="auto"/>
      <w:ind w:left="680"/>
    </w:pPr>
    <w:rPr>
      <w:rFonts w:ascii="Source Sans Pro" w:eastAsia="Yu Gothic UI" w:hAnsi="Source Sans Pro" w:cs="Times New Roman"/>
      <w:b/>
      <w:color w:val="44546A" w:themeColor="text2"/>
      <w:sz w:val="44"/>
      <w:szCs w:val="44"/>
    </w:rPr>
  </w:style>
  <w:style w:type="paragraph" w:customStyle="1" w:styleId="Execsummbullet">
    <w:name w:val="Exec summ bullet"/>
    <w:basedOn w:val="Normal"/>
    <w:uiPriority w:val="19"/>
    <w:semiHidden/>
    <w:rsid w:val="00C76F4B"/>
    <w:pPr>
      <w:numPr>
        <w:ilvl w:val="1"/>
        <w:numId w:val="2"/>
      </w:numPr>
      <w:spacing w:after="240" w:line="280" w:lineRule="atLeast"/>
      <w:jc w:val="both"/>
    </w:pPr>
    <w:rPr>
      <w:rFonts w:ascii="Source Sans Pro" w:hAnsi="Source Sans Pro" w:cs="Times New Roman"/>
    </w:rPr>
  </w:style>
  <w:style w:type="paragraph" w:customStyle="1" w:styleId="ExecSummTableTitle">
    <w:name w:val="Exec Summ Table Title"/>
    <w:basedOn w:val="Normal"/>
    <w:next w:val="ExecSummPara"/>
    <w:uiPriority w:val="19"/>
    <w:qFormat/>
    <w:rsid w:val="00C76F4B"/>
    <w:pPr>
      <w:numPr>
        <w:ilvl w:val="2"/>
        <w:numId w:val="2"/>
      </w:numPr>
      <w:pBdr>
        <w:top w:val="single" w:sz="4" w:space="1" w:color="394A58"/>
      </w:pBdr>
      <w:shd w:val="clear" w:color="auto" w:fill="C9CED3"/>
      <w:spacing w:before="360" w:after="0" w:line="240" w:lineRule="auto"/>
      <w:ind w:right="28"/>
    </w:pPr>
    <w:rPr>
      <w:rFonts w:ascii="Source Sans Pro" w:hAnsi="Source Sans Pro" w:cs="Times New Roman"/>
    </w:rPr>
  </w:style>
  <w:style w:type="numbering" w:customStyle="1" w:styleId="NumbLstNumb">
    <w:name w:val="NumbLstNumb"/>
    <w:uiPriority w:val="99"/>
    <w:rsid w:val="00C76F4B"/>
    <w:pPr>
      <w:numPr>
        <w:numId w:val="2"/>
      </w:numPr>
    </w:pPr>
  </w:style>
  <w:style w:type="character" w:customStyle="1" w:styleId="Heading1Char">
    <w:name w:val="Heading 1 Char"/>
    <w:basedOn w:val="DefaultParagraphFont"/>
    <w:link w:val="Heading1"/>
    <w:uiPriority w:val="9"/>
    <w:rsid w:val="00C76F4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61D1"/>
    <w:pPr>
      <w:spacing w:after="0" w:line="240" w:lineRule="auto"/>
    </w:pPr>
  </w:style>
  <w:style w:type="character" w:styleId="CommentReference">
    <w:name w:val="annotation reference"/>
    <w:basedOn w:val="DefaultParagraphFont"/>
    <w:uiPriority w:val="99"/>
    <w:semiHidden/>
    <w:unhideWhenUsed/>
    <w:rsid w:val="007D61D1"/>
    <w:rPr>
      <w:sz w:val="16"/>
      <w:szCs w:val="16"/>
    </w:rPr>
  </w:style>
  <w:style w:type="paragraph" w:styleId="CommentText">
    <w:name w:val="annotation text"/>
    <w:basedOn w:val="Normal"/>
    <w:link w:val="CommentTextChar"/>
    <w:uiPriority w:val="99"/>
    <w:unhideWhenUsed/>
    <w:rsid w:val="007D61D1"/>
    <w:pPr>
      <w:spacing w:line="240" w:lineRule="auto"/>
    </w:pPr>
    <w:rPr>
      <w:sz w:val="20"/>
      <w:szCs w:val="20"/>
    </w:rPr>
  </w:style>
  <w:style w:type="character" w:customStyle="1" w:styleId="CommentTextChar">
    <w:name w:val="Comment Text Char"/>
    <w:basedOn w:val="DefaultParagraphFont"/>
    <w:link w:val="CommentText"/>
    <w:uiPriority w:val="99"/>
    <w:rsid w:val="007D61D1"/>
    <w:rPr>
      <w:sz w:val="20"/>
      <w:szCs w:val="20"/>
    </w:rPr>
  </w:style>
  <w:style w:type="paragraph" w:styleId="CommentSubject">
    <w:name w:val="annotation subject"/>
    <w:basedOn w:val="CommentText"/>
    <w:next w:val="CommentText"/>
    <w:link w:val="CommentSubjectChar"/>
    <w:uiPriority w:val="99"/>
    <w:semiHidden/>
    <w:unhideWhenUsed/>
    <w:rsid w:val="007D61D1"/>
    <w:rPr>
      <w:b/>
      <w:bCs/>
    </w:rPr>
  </w:style>
  <w:style w:type="character" w:customStyle="1" w:styleId="CommentSubjectChar">
    <w:name w:val="Comment Subject Char"/>
    <w:basedOn w:val="CommentTextChar"/>
    <w:link w:val="CommentSubject"/>
    <w:uiPriority w:val="99"/>
    <w:semiHidden/>
    <w:rsid w:val="007D61D1"/>
    <w:rPr>
      <w:b/>
      <w:bCs/>
      <w:sz w:val="20"/>
      <w:szCs w:val="20"/>
    </w:rPr>
  </w:style>
  <w:style w:type="table" w:styleId="TableGrid">
    <w:name w:val="Table Grid"/>
    <w:basedOn w:val="TableNormal"/>
    <w:uiPriority w:val="39"/>
    <w:rsid w:val="006B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311">
      <w:bodyDiv w:val="1"/>
      <w:marLeft w:val="0"/>
      <w:marRight w:val="0"/>
      <w:marTop w:val="0"/>
      <w:marBottom w:val="0"/>
      <w:divBdr>
        <w:top w:val="none" w:sz="0" w:space="0" w:color="auto"/>
        <w:left w:val="none" w:sz="0" w:space="0" w:color="auto"/>
        <w:bottom w:val="none" w:sz="0" w:space="0" w:color="auto"/>
        <w:right w:val="none" w:sz="0" w:space="0" w:color="auto"/>
      </w:divBdr>
    </w:div>
    <w:div w:id="160850695">
      <w:bodyDiv w:val="1"/>
      <w:marLeft w:val="0"/>
      <w:marRight w:val="0"/>
      <w:marTop w:val="0"/>
      <w:marBottom w:val="0"/>
      <w:divBdr>
        <w:top w:val="none" w:sz="0" w:space="0" w:color="auto"/>
        <w:left w:val="none" w:sz="0" w:space="0" w:color="auto"/>
        <w:bottom w:val="none" w:sz="0" w:space="0" w:color="auto"/>
        <w:right w:val="none" w:sz="0" w:space="0" w:color="auto"/>
      </w:divBdr>
    </w:div>
    <w:div w:id="365909882">
      <w:bodyDiv w:val="1"/>
      <w:marLeft w:val="0"/>
      <w:marRight w:val="0"/>
      <w:marTop w:val="0"/>
      <w:marBottom w:val="0"/>
      <w:divBdr>
        <w:top w:val="none" w:sz="0" w:space="0" w:color="auto"/>
        <w:left w:val="none" w:sz="0" w:space="0" w:color="auto"/>
        <w:bottom w:val="none" w:sz="0" w:space="0" w:color="auto"/>
        <w:right w:val="none" w:sz="0" w:space="0" w:color="auto"/>
      </w:divBdr>
    </w:div>
    <w:div w:id="398288612">
      <w:bodyDiv w:val="1"/>
      <w:marLeft w:val="0"/>
      <w:marRight w:val="0"/>
      <w:marTop w:val="0"/>
      <w:marBottom w:val="0"/>
      <w:divBdr>
        <w:top w:val="none" w:sz="0" w:space="0" w:color="auto"/>
        <w:left w:val="none" w:sz="0" w:space="0" w:color="auto"/>
        <w:bottom w:val="none" w:sz="0" w:space="0" w:color="auto"/>
        <w:right w:val="none" w:sz="0" w:space="0" w:color="auto"/>
      </w:divBdr>
    </w:div>
    <w:div w:id="558639746">
      <w:bodyDiv w:val="1"/>
      <w:marLeft w:val="0"/>
      <w:marRight w:val="0"/>
      <w:marTop w:val="0"/>
      <w:marBottom w:val="0"/>
      <w:divBdr>
        <w:top w:val="none" w:sz="0" w:space="0" w:color="auto"/>
        <w:left w:val="none" w:sz="0" w:space="0" w:color="auto"/>
        <w:bottom w:val="none" w:sz="0" w:space="0" w:color="auto"/>
        <w:right w:val="none" w:sz="0" w:space="0" w:color="auto"/>
      </w:divBdr>
    </w:div>
    <w:div w:id="653723862">
      <w:bodyDiv w:val="1"/>
      <w:marLeft w:val="0"/>
      <w:marRight w:val="0"/>
      <w:marTop w:val="0"/>
      <w:marBottom w:val="0"/>
      <w:divBdr>
        <w:top w:val="none" w:sz="0" w:space="0" w:color="auto"/>
        <w:left w:val="none" w:sz="0" w:space="0" w:color="auto"/>
        <w:bottom w:val="none" w:sz="0" w:space="0" w:color="auto"/>
        <w:right w:val="none" w:sz="0" w:space="0" w:color="auto"/>
      </w:divBdr>
    </w:div>
    <w:div w:id="782765818">
      <w:bodyDiv w:val="1"/>
      <w:marLeft w:val="0"/>
      <w:marRight w:val="0"/>
      <w:marTop w:val="0"/>
      <w:marBottom w:val="0"/>
      <w:divBdr>
        <w:top w:val="none" w:sz="0" w:space="0" w:color="auto"/>
        <w:left w:val="none" w:sz="0" w:space="0" w:color="auto"/>
        <w:bottom w:val="none" w:sz="0" w:space="0" w:color="auto"/>
        <w:right w:val="none" w:sz="0" w:space="0" w:color="auto"/>
      </w:divBdr>
    </w:div>
    <w:div w:id="813182403">
      <w:bodyDiv w:val="1"/>
      <w:marLeft w:val="0"/>
      <w:marRight w:val="0"/>
      <w:marTop w:val="0"/>
      <w:marBottom w:val="0"/>
      <w:divBdr>
        <w:top w:val="none" w:sz="0" w:space="0" w:color="auto"/>
        <w:left w:val="none" w:sz="0" w:space="0" w:color="auto"/>
        <w:bottom w:val="none" w:sz="0" w:space="0" w:color="auto"/>
        <w:right w:val="none" w:sz="0" w:space="0" w:color="auto"/>
      </w:divBdr>
    </w:div>
    <w:div w:id="1036465717">
      <w:bodyDiv w:val="1"/>
      <w:marLeft w:val="0"/>
      <w:marRight w:val="0"/>
      <w:marTop w:val="0"/>
      <w:marBottom w:val="0"/>
      <w:divBdr>
        <w:top w:val="none" w:sz="0" w:space="0" w:color="auto"/>
        <w:left w:val="none" w:sz="0" w:space="0" w:color="auto"/>
        <w:bottom w:val="none" w:sz="0" w:space="0" w:color="auto"/>
        <w:right w:val="none" w:sz="0" w:space="0" w:color="auto"/>
      </w:divBdr>
    </w:div>
    <w:div w:id="1185558310">
      <w:bodyDiv w:val="1"/>
      <w:marLeft w:val="0"/>
      <w:marRight w:val="0"/>
      <w:marTop w:val="0"/>
      <w:marBottom w:val="0"/>
      <w:divBdr>
        <w:top w:val="none" w:sz="0" w:space="0" w:color="auto"/>
        <w:left w:val="none" w:sz="0" w:space="0" w:color="auto"/>
        <w:bottom w:val="none" w:sz="0" w:space="0" w:color="auto"/>
        <w:right w:val="none" w:sz="0" w:space="0" w:color="auto"/>
      </w:divBdr>
    </w:div>
    <w:div w:id="1285502483">
      <w:bodyDiv w:val="1"/>
      <w:marLeft w:val="0"/>
      <w:marRight w:val="0"/>
      <w:marTop w:val="0"/>
      <w:marBottom w:val="0"/>
      <w:divBdr>
        <w:top w:val="none" w:sz="0" w:space="0" w:color="auto"/>
        <w:left w:val="none" w:sz="0" w:space="0" w:color="auto"/>
        <w:bottom w:val="none" w:sz="0" w:space="0" w:color="auto"/>
        <w:right w:val="none" w:sz="0" w:space="0" w:color="auto"/>
      </w:divBdr>
    </w:div>
    <w:div w:id="1350452553">
      <w:bodyDiv w:val="1"/>
      <w:marLeft w:val="0"/>
      <w:marRight w:val="0"/>
      <w:marTop w:val="0"/>
      <w:marBottom w:val="0"/>
      <w:divBdr>
        <w:top w:val="none" w:sz="0" w:space="0" w:color="auto"/>
        <w:left w:val="none" w:sz="0" w:space="0" w:color="auto"/>
        <w:bottom w:val="none" w:sz="0" w:space="0" w:color="auto"/>
        <w:right w:val="none" w:sz="0" w:space="0" w:color="auto"/>
      </w:divBdr>
    </w:div>
    <w:div w:id="1545606253">
      <w:bodyDiv w:val="1"/>
      <w:marLeft w:val="0"/>
      <w:marRight w:val="0"/>
      <w:marTop w:val="0"/>
      <w:marBottom w:val="0"/>
      <w:divBdr>
        <w:top w:val="none" w:sz="0" w:space="0" w:color="auto"/>
        <w:left w:val="none" w:sz="0" w:space="0" w:color="auto"/>
        <w:bottom w:val="none" w:sz="0" w:space="0" w:color="auto"/>
        <w:right w:val="none" w:sz="0" w:space="0" w:color="auto"/>
      </w:divBdr>
    </w:div>
    <w:div w:id="1793598076">
      <w:bodyDiv w:val="1"/>
      <w:marLeft w:val="0"/>
      <w:marRight w:val="0"/>
      <w:marTop w:val="0"/>
      <w:marBottom w:val="0"/>
      <w:divBdr>
        <w:top w:val="none" w:sz="0" w:space="0" w:color="auto"/>
        <w:left w:val="none" w:sz="0" w:space="0" w:color="auto"/>
        <w:bottom w:val="none" w:sz="0" w:space="0" w:color="auto"/>
        <w:right w:val="none" w:sz="0" w:space="0" w:color="auto"/>
      </w:divBdr>
    </w:div>
    <w:div w:id="1814827755">
      <w:bodyDiv w:val="1"/>
      <w:marLeft w:val="0"/>
      <w:marRight w:val="0"/>
      <w:marTop w:val="0"/>
      <w:marBottom w:val="0"/>
      <w:divBdr>
        <w:top w:val="none" w:sz="0" w:space="0" w:color="auto"/>
        <w:left w:val="none" w:sz="0" w:space="0" w:color="auto"/>
        <w:bottom w:val="none" w:sz="0" w:space="0" w:color="auto"/>
        <w:right w:val="none" w:sz="0" w:space="0" w:color="auto"/>
      </w:divBdr>
      <w:divsChild>
        <w:div w:id="2016758208">
          <w:marLeft w:val="360"/>
          <w:marRight w:val="0"/>
          <w:marTop w:val="0"/>
          <w:marBottom w:val="0"/>
          <w:divBdr>
            <w:top w:val="none" w:sz="0" w:space="0" w:color="auto"/>
            <w:left w:val="none" w:sz="0" w:space="0" w:color="auto"/>
            <w:bottom w:val="none" w:sz="0" w:space="0" w:color="auto"/>
            <w:right w:val="none" w:sz="0" w:space="0" w:color="auto"/>
          </w:divBdr>
        </w:div>
      </w:divsChild>
    </w:div>
    <w:div w:id="20980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0E34-A053-4E06-B4CC-6913277B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Dajani, Beverley (EnterpriseStokeStaffs)</dc:creator>
  <cp:keywords/>
  <dc:description/>
  <cp:lastModifiedBy>Shufflebotham, Matthew (E,I&amp;S)</cp:lastModifiedBy>
  <cp:revision>550</cp:revision>
  <dcterms:created xsi:type="dcterms:W3CDTF">2023-09-06T21:10:00Z</dcterms:created>
  <dcterms:modified xsi:type="dcterms:W3CDTF">2024-02-29T14:56:00Z</dcterms:modified>
</cp:coreProperties>
</file>