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E1D89" w14:textId="0593DEF6" w:rsidR="00E73CDE" w:rsidRPr="009435B9" w:rsidRDefault="00E73CDE" w:rsidP="008876E4">
      <w:pPr>
        <w:rPr>
          <w:rFonts w:ascii="Arial" w:hAnsi="Arial" w:cs="Arial"/>
          <w:sz w:val="40"/>
          <w:szCs w:val="40"/>
          <w:u w:val="single"/>
        </w:rPr>
      </w:pPr>
      <w:r w:rsidRPr="009435B9">
        <w:rPr>
          <w:rFonts w:ascii="Arial" w:hAnsi="Arial" w:cs="Arial"/>
          <w:sz w:val="40"/>
          <w:szCs w:val="40"/>
          <w:u w:val="single"/>
        </w:rPr>
        <w:t>CEO Report</w:t>
      </w:r>
    </w:p>
    <w:p w14:paraId="14DD48D4" w14:textId="5BDD883E" w:rsidR="00E73CDE" w:rsidRDefault="00E73CDE" w:rsidP="008876E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Period: </w:t>
      </w:r>
      <w:r w:rsidR="00B81FCF">
        <w:rPr>
          <w:rFonts w:ascii="Arial" w:hAnsi="Arial" w:cs="Arial"/>
          <w:u w:val="single"/>
        </w:rPr>
        <w:t>Nov/Dec</w:t>
      </w:r>
      <w:r w:rsidR="009435B9">
        <w:rPr>
          <w:rFonts w:ascii="Arial" w:hAnsi="Arial" w:cs="Arial"/>
          <w:u w:val="single"/>
        </w:rPr>
        <w:t xml:space="preserve"> 2021</w:t>
      </w:r>
    </w:p>
    <w:p w14:paraId="41A01DA9" w14:textId="7BCB35F6" w:rsidR="00580C0A" w:rsidRDefault="00772292" w:rsidP="00794C03">
      <w:pPr>
        <w:jc w:val="both"/>
        <w:rPr>
          <w:rFonts w:ascii="Arial" w:hAnsi="Arial" w:cs="Arial"/>
        </w:rPr>
      </w:pPr>
      <w:r w:rsidRPr="008A565F">
        <w:rPr>
          <w:rFonts w:ascii="Arial" w:hAnsi="Arial" w:cs="Arial"/>
        </w:rPr>
        <w:t>This report sets our progress made by the operational team to support Board</w:t>
      </w:r>
      <w:r w:rsidR="008A565F" w:rsidRPr="008A565F">
        <w:rPr>
          <w:rFonts w:ascii="Arial" w:hAnsi="Arial" w:cs="Arial"/>
        </w:rPr>
        <w:t xml:space="preserve"> strategy and ambitions locally.</w:t>
      </w:r>
      <w:r w:rsidR="00794C03">
        <w:rPr>
          <w:rFonts w:ascii="Arial" w:hAnsi="Arial" w:cs="Arial"/>
        </w:rPr>
        <w:t xml:space="preserve"> </w:t>
      </w:r>
      <w:r w:rsidR="008A565F">
        <w:rPr>
          <w:rFonts w:ascii="Arial" w:hAnsi="Arial" w:cs="Arial"/>
        </w:rPr>
        <w:t xml:space="preserve">It specifically details progress made against the agreed Delivery Plan to ensure </w:t>
      </w:r>
      <w:r w:rsidR="00580C0A">
        <w:rPr>
          <w:rFonts w:ascii="Arial" w:hAnsi="Arial" w:cs="Arial"/>
        </w:rPr>
        <w:t>transparency</w:t>
      </w:r>
      <w:r w:rsidR="00B03FB8">
        <w:rPr>
          <w:rFonts w:ascii="Arial" w:hAnsi="Arial" w:cs="Arial"/>
        </w:rPr>
        <w:t>, accountability</w:t>
      </w:r>
      <w:r w:rsidR="00580C0A">
        <w:rPr>
          <w:rFonts w:ascii="Arial" w:hAnsi="Arial" w:cs="Arial"/>
        </w:rPr>
        <w:t xml:space="preserve"> and promote good governance.</w:t>
      </w:r>
      <w:r w:rsidR="00794C03">
        <w:rPr>
          <w:rFonts w:ascii="Arial" w:hAnsi="Arial" w:cs="Arial"/>
        </w:rPr>
        <w:t xml:space="preserve"> </w:t>
      </w:r>
      <w:r w:rsidR="00580C0A">
        <w:rPr>
          <w:rFonts w:ascii="Arial" w:hAnsi="Arial" w:cs="Arial"/>
        </w:rPr>
        <w:t xml:space="preserve">It </w:t>
      </w:r>
      <w:r w:rsidR="00794C03">
        <w:rPr>
          <w:rFonts w:ascii="Arial" w:hAnsi="Arial" w:cs="Arial"/>
        </w:rPr>
        <w:t xml:space="preserve">also provides insight into </w:t>
      </w:r>
      <w:r w:rsidR="00CB1B75">
        <w:rPr>
          <w:rFonts w:ascii="Arial" w:hAnsi="Arial" w:cs="Arial"/>
        </w:rPr>
        <w:t xml:space="preserve">the </w:t>
      </w:r>
      <w:r w:rsidR="00794C03">
        <w:rPr>
          <w:rFonts w:ascii="Arial" w:hAnsi="Arial" w:cs="Arial"/>
        </w:rPr>
        <w:t>staffing resources and related risks.</w:t>
      </w:r>
      <w:r w:rsidR="00143EF1">
        <w:rPr>
          <w:rFonts w:ascii="Arial" w:hAnsi="Arial" w:cs="Arial"/>
        </w:rPr>
        <w:t xml:space="preserve"> The delivery Plan has been operationalised and directly informs operation team priorities and individual work programmes.</w:t>
      </w:r>
    </w:p>
    <w:p w14:paraId="35433C0F" w14:textId="77777777" w:rsidR="00B03FB8" w:rsidRDefault="00B03FB8" w:rsidP="008876E4">
      <w:pPr>
        <w:rPr>
          <w:rFonts w:ascii="Arial" w:hAnsi="Arial" w:cs="Arial"/>
          <w:u w:val="single"/>
        </w:rPr>
      </w:pPr>
    </w:p>
    <w:p w14:paraId="03D3CEF5" w14:textId="28649209" w:rsidR="0061630E" w:rsidRPr="00FD5933" w:rsidRDefault="00B03FB8" w:rsidP="008876E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Delivery Plan Action update</w:t>
      </w:r>
      <w:r w:rsidR="00CF7234" w:rsidRPr="00FD5933">
        <w:rPr>
          <w:rFonts w:ascii="Arial" w:hAnsi="Arial" w:cs="Arial"/>
          <w:u w:val="single"/>
        </w:rPr>
        <w:t>:</w:t>
      </w:r>
    </w:p>
    <w:p w14:paraId="6FB73191" w14:textId="481FC4F6" w:rsidR="0061630E" w:rsidRPr="00FD5933" w:rsidRDefault="0061630E" w:rsidP="008876E4">
      <w:pPr>
        <w:pStyle w:val="ListParagraph"/>
        <w:numPr>
          <w:ilvl w:val="0"/>
          <w:numId w:val="9"/>
        </w:numPr>
        <w:ind w:left="360"/>
        <w:rPr>
          <w:rFonts w:ascii="Arial" w:eastAsia="Times New Roman" w:hAnsi="Arial" w:cs="Arial"/>
        </w:rPr>
      </w:pPr>
      <w:r w:rsidRPr="00FD5933">
        <w:rPr>
          <w:rFonts w:ascii="Arial" w:eastAsia="Times New Roman" w:hAnsi="Arial" w:cs="Arial"/>
          <w:b/>
          <w:bCs/>
        </w:rPr>
        <w:t>Governance</w:t>
      </w:r>
      <w:r w:rsidRPr="00FD5933">
        <w:rPr>
          <w:rFonts w:ascii="Arial" w:eastAsia="Times New Roman" w:hAnsi="Arial" w:cs="Arial"/>
        </w:rPr>
        <w:t>: continue to drive strategic change through evidenced-based, ambitious strategy underpinned by robust governance</w:t>
      </w:r>
      <w:r w:rsidR="00177166" w:rsidRPr="00FD5933">
        <w:rPr>
          <w:rFonts w:ascii="Arial" w:eastAsia="Times New Roman" w:hAnsi="Arial" w:cs="Arial"/>
        </w:rPr>
        <w:t>; a platform for future growth</w:t>
      </w:r>
    </w:p>
    <w:p w14:paraId="05D3FD74" w14:textId="3EF6BB35" w:rsidR="00410F94" w:rsidRPr="00FD5933" w:rsidRDefault="00410F94" w:rsidP="00410F94">
      <w:pPr>
        <w:rPr>
          <w:rFonts w:ascii="Arial" w:eastAsia="Times New Roman" w:hAnsi="Arial" w:cs="Arial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528"/>
      </w:tblGrid>
      <w:tr w:rsidR="009435B9" w:rsidRPr="00FD5933" w14:paraId="403CE5CA" w14:textId="77777777" w:rsidTr="008762F4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159C0223" w14:textId="77777777" w:rsidR="009435B9" w:rsidRPr="00FD5933" w:rsidRDefault="009435B9" w:rsidP="00643643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D5933">
              <w:rPr>
                <w:rFonts w:ascii="Arial" w:hAnsi="Arial" w:cs="Arial"/>
                <w:b/>
                <w:bCs/>
              </w:rPr>
              <w:t>Qtr3: Oct-Dec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1D0ABE8D" w14:textId="77777777" w:rsidR="009435B9" w:rsidRPr="00FD5933" w:rsidRDefault="009435B9" w:rsidP="00643643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D5933">
              <w:rPr>
                <w:rFonts w:ascii="Arial" w:hAnsi="Arial" w:cs="Arial"/>
                <w:b/>
                <w:bCs/>
              </w:rPr>
              <w:t>Progress</w:t>
            </w:r>
          </w:p>
        </w:tc>
      </w:tr>
      <w:tr w:rsidR="009435B9" w:rsidRPr="00FD5933" w14:paraId="402D73FC" w14:textId="77777777" w:rsidTr="008762F4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E04251" w14:textId="77777777" w:rsidR="009435B9" w:rsidRPr="00FD5933" w:rsidRDefault="009435B9" w:rsidP="00643643">
            <w:pPr>
              <w:tabs>
                <w:tab w:val="left" w:pos="1260"/>
              </w:tabs>
              <w:rPr>
                <w:rFonts w:ascii="Arial" w:hAnsi="Arial" w:cs="Arial"/>
              </w:rPr>
            </w:pPr>
            <w:r w:rsidRPr="00FD5933">
              <w:rPr>
                <w:rFonts w:ascii="Arial" w:hAnsi="Arial" w:cs="Arial"/>
              </w:rPr>
              <w:t>AGM + formal appointment of new NEDs</w:t>
            </w:r>
          </w:p>
          <w:p w14:paraId="51C03ACA" w14:textId="2E233E90" w:rsidR="009435B9" w:rsidRPr="00FD5933" w:rsidRDefault="009435B9" w:rsidP="00755954">
            <w:pPr>
              <w:tabs>
                <w:tab w:val="left" w:pos="1260"/>
              </w:tabs>
              <w:rPr>
                <w:rFonts w:ascii="Arial" w:hAnsi="Arial" w:cs="Arial"/>
              </w:rPr>
            </w:pPr>
            <w:r w:rsidRPr="00FD5933">
              <w:rPr>
                <w:rFonts w:ascii="Arial" w:hAnsi="Arial" w:cs="Arial"/>
              </w:rPr>
              <w:t>Induction of new NEDs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3AAE25" w14:textId="3484CE14" w:rsidR="009435B9" w:rsidRDefault="009C62AA" w:rsidP="00643643">
            <w:pPr>
              <w:tabs>
                <w:tab w:val="left" w:pos="12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</w:t>
            </w:r>
          </w:p>
          <w:p w14:paraId="569C2B14" w14:textId="1DC24E66" w:rsidR="00755954" w:rsidRPr="00FD5933" w:rsidRDefault="009C62AA" w:rsidP="00643643">
            <w:pPr>
              <w:tabs>
                <w:tab w:val="left" w:pos="12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N/A </w:t>
            </w:r>
            <w:proofErr w:type="gramStart"/>
            <w:r>
              <w:rPr>
                <w:rFonts w:ascii="Arial" w:hAnsi="Arial" w:cs="Arial"/>
              </w:rPr>
              <w:t>at this time</w:t>
            </w:r>
            <w:proofErr w:type="gramEnd"/>
          </w:p>
        </w:tc>
      </w:tr>
      <w:tr w:rsidR="009435B9" w:rsidRPr="00FD5933" w14:paraId="68078AB5" w14:textId="77777777" w:rsidTr="008762F4">
        <w:tc>
          <w:tcPr>
            <w:tcW w:w="4678" w:type="dxa"/>
            <w:tcBorders>
              <w:top w:val="single" w:sz="4" w:space="0" w:color="auto"/>
            </w:tcBorders>
          </w:tcPr>
          <w:p w14:paraId="7D17F471" w14:textId="77777777" w:rsidR="009435B9" w:rsidRPr="00FD5933" w:rsidRDefault="009435B9" w:rsidP="00643643">
            <w:pPr>
              <w:tabs>
                <w:tab w:val="left" w:pos="1260"/>
              </w:tabs>
              <w:rPr>
                <w:rFonts w:ascii="Arial" w:hAnsi="Arial" w:cs="Arial"/>
              </w:rPr>
            </w:pPr>
            <w:r w:rsidRPr="00FD5933">
              <w:rPr>
                <w:rFonts w:ascii="Arial" w:hAnsi="Arial" w:cs="Arial"/>
              </w:rPr>
              <w:t>Strategy review/refresh</w:t>
            </w:r>
          </w:p>
          <w:p w14:paraId="4546D31A" w14:textId="77777777" w:rsidR="005C73A8" w:rsidRDefault="005C73A8" w:rsidP="00643643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  <w:p w14:paraId="09D839F3" w14:textId="77777777" w:rsidR="005C73A8" w:rsidRPr="008762F4" w:rsidRDefault="005C73A8" w:rsidP="00643643">
            <w:pPr>
              <w:tabs>
                <w:tab w:val="left" w:pos="126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B099A26" w14:textId="1BA95B4A" w:rsidR="009435B9" w:rsidRDefault="009435B9" w:rsidP="00643643">
            <w:pPr>
              <w:tabs>
                <w:tab w:val="left" w:pos="1260"/>
              </w:tabs>
              <w:rPr>
                <w:rFonts w:ascii="Arial" w:hAnsi="Arial" w:cs="Arial"/>
              </w:rPr>
            </w:pPr>
            <w:r w:rsidRPr="00FD5933">
              <w:rPr>
                <w:rFonts w:ascii="Arial" w:hAnsi="Arial" w:cs="Arial"/>
              </w:rPr>
              <w:t>Structural review</w:t>
            </w:r>
          </w:p>
          <w:p w14:paraId="5A6B6A76" w14:textId="77777777" w:rsidR="009435B9" w:rsidRPr="00FD5933" w:rsidRDefault="009435B9" w:rsidP="00643643">
            <w:pPr>
              <w:tabs>
                <w:tab w:val="left" w:pos="1260"/>
              </w:tabs>
              <w:rPr>
                <w:rFonts w:ascii="Arial" w:hAnsi="Arial" w:cs="Arial"/>
              </w:rPr>
            </w:pPr>
            <w:r w:rsidRPr="00FD5933">
              <w:rPr>
                <w:rFonts w:ascii="Arial" w:hAnsi="Arial" w:cs="Arial"/>
              </w:rPr>
              <w:t xml:space="preserve">Review of Governance and of associated Assurance Framework </w:t>
            </w:r>
          </w:p>
          <w:p w14:paraId="65E015B8" w14:textId="77777777" w:rsidR="009435B9" w:rsidRPr="00FD5933" w:rsidRDefault="009435B9" w:rsidP="00643643">
            <w:pPr>
              <w:tabs>
                <w:tab w:val="left" w:pos="1260"/>
              </w:tabs>
              <w:rPr>
                <w:rFonts w:ascii="Arial" w:hAnsi="Arial" w:cs="Arial"/>
              </w:rPr>
            </w:pPr>
            <w:r w:rsidRPr="00FD5933">
              <w:rPr>
                <w:rFonts w:ascii="Arial" w:hAnsi="Arial" w:cs="Arial"/>
              </w:rPr>
              <w:t>Implementation of any recommendations emerging from:</w:t>
            </w:r>
          </w:p>
          <w:p w14:paraId="60AE206A" w14:textId="77777777" w:rsidR="009435B9" w:rsidRPr="00FD5933" w:rsidRDefault="009435B9" w:rsidP="00643643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</w:tabs>
              <w:rPr>
                <w:rFonts w:ascii="Arial" w:hAnsi="Arial" w:cs="Arial"/>
              </w:rPr>
            </w:pPr>
            <w:r w:rsidRPr="00FD5933">
              <w:rPr>
                <w:rFonts w:ascii="Arial" w:hAnsi="Arial" w:cs="Arial"/>
              </w:rPr>
              <w:t>review of accountabilities</w:t>
            </w:r>
          </w:p>
          <w:p w14:paraId="131E63EB" w14:textId="77777777" w:rsidR="009435B9" w:rsidRPr="00FD5933" w:rsidRDefault="009435B9" w:rsidP="00643643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</w:tabs>
              <w:rPr>
                <w:rFonts w:ascii="Arial" w:hAnsi="Arial" w:cs="Arial"/>
              </w:rPr>
            </w:pPr>
            <w:r w:rsidRPr="00FD5933">
              <w:rPr>
                <w:rFonts w:ascii="Arial" w:hAnsi="Arial" w:cs="Arial"/>
              </w:rPr>
              <w:t>Mid-Year Review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7AC9EE0C" w14:textId="77777777" w:rsidR="009435B9" w:rsidRDefault="0055769C" w:rsidP="004E2616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SSLEP Board subgroups have reviewed their current position </w:t>
            </w:r>
            <w:proofErr w:type="gramStart"/>
            <w:r>
              <w:rPr>
                <w:rFonts w:ascii="Arial" w:hAnsi="Arial" w:cs="Arial"/>
              </w:rPr>
              <w:t>in light of</w:t>
            </w:r>
            <w:proofErr w:type="gramEnd"/>
            <w:r>
              <w:rPr>
                <w:rFonts w:ascii="Arial" w:hAnsi="Arial" w:cs="Arial"/>
              </w:rPr>
              <w:t xml:space="preserve"> strategic changes/emerging new policy. A strategy refresh will commence</w:t>
            </w:r>
            <w:r w:rsidR="00652C65">
              <w:rPr>
                <w:rFonts w:ascii="Arial" w:hAnsi="Arial" w:cs="Arial"/>
              </w:rPr>
              <w:t xml:space="preserve"> in Jan 2022 when the future role of the LEP is made clear</w:t>
            </w:r>
            <w:r w:rsidR="005C73A8">
              <w:rPr>
                <w:rFonts w:ascii="Arial" w:hAnsi="Arial" w:cs="Arial"/>
              </w:rPr>
              <w:t>.</w:t>
            </w:r>
          </w:p>
          <w:p w14:paraId="0FEBE6F2" w14:textId="7E72B5E5" w:rsidR="005C73A8" w:rsidRPr="00FD5933" w:rsidRDefault="005C73A8" w:rsidP="004E2616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yet commenced: A </w:t>
            </w:r>
            <w:r w:rsidR="000B762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tructural review</w:t>
            </w:r>
            <w:r w:rsidR="001A2892">
              <w:rPr>
                <w:rFonts w:ascii="Arial" w:hAnsi="Arial" w:cs="Arial"/>
              </w:rPr>
              <w:t>,</w:t>
            </w:r>
            <w:r w:rsidR="000B7625">
              <w:rPr>
                <w:rFonts w:ascii="Arial" w:hAnsi="Arial" w:cs="Arial"/>
              </w:rPr>
              <w:t xml:space="preserve"> Review of </w:t>
            </w:r>
            <w:proofErr w:type="gramStart"/>
            <w:r w:rsidR="000B7625">
              <w:rPr>
                <w:rFonts w:ascii="Arial" w:hAnsi="Arial" w:cs="Arial"/>
              </w:rPr>
              <w:t>Governance</w:t>
            </w:r>
            <w:proofErr w:type="gramEnd"/>
            <w:r w:rsidR="001A2892">
              <w:rPr>
                <w:rFonts w:ascii="Arial" w:hAnsi="Arial" w:cs="Arial"/>
              </w:rPr>
              <w:t xml:space="preserve"> and the implementation of the review of accountabilities (delivered by Hatch)</w:t>
            </w:r>
            <w:r>
              <w:rPr>
                <w:rFonts w:ascii="Arial" w:hAnsi="Arial" w:cs="Arial"/>
              </w:rPr>
              <w:t xml:space="preserve"> will take place</w:t>
            </w:r>
            <w:r w:rsidR="00DF576F">
              <w:rPr>
                <w:rFonts w:ascii="Arial" w:hAnsi="Arial" w:cs="Arial"/>
              </w:rPr>
              <w:t xml:space="preserve"> once the purpose and function of the LEP is made clear</w:t>
            </w:r>
            <w:r w:rsidR="004E2616">
              <w:rPr>
                <w:rFonts w:ascii="Arial" w:hAnsi="Arial" w:cs="Arial"/>
              </w:rPr>
              <w:t>. The Hatch Review will help to inform any future changes</w:t>
            </w:r>
          </w:p>
        </w:tc>
      </w:tr>
    </w:tbl>
    <w:p w14:paraId="1A78BF31" w14:textId="77777777" w:rsidR="00410F94" w:rsidRPr="00FD5933" w:rsidRDefault="00410F94" w:rsidP="00410F94">
      <w:pPr>
        <w:rPr>
          <w:rFonts w:ascii="Arial" w:eastAsia="Times New Roman" w:hAnsi="Arial" w:cs="Arial"/>
        </w:rPr>
      </w:pPr>
    </w:p>
    <w:p w14:paraId="61F58596" w14:textId="77777777" w:rsidR="0061630E" w:rsidRPr="00FD5933" w:rsidRDefault="0061630E" w:rsidP="008876E4">
      <w:pPr>
        <w:rPr>
          <w:rFonts w:ascii="Arial" w:eastAsiaTheme="minorHAnsi" w:hAnsi="Arial" w:cs="Arial"/>
        </w:rPr>
      </w:pPr>
    </w:p>
    <w:p w14:paraId="2312BA77" w14:textId="59ACF5D4" w:rsidR="0061630E" w:rsidRPr="00FD5933" w:rsidRDefault="0061630E" w:rsidP="008876E4">
      <w:pPr>
        <w:pStyle w:val="ListParagraph"/>
        <w:numPr>
          <w:ilvl w:val="0"/>
          <w:numId w:val="9"/>
        </w:numPr>
        <w:ind w:left="360"/>
        <w:rPr>
          <w:rFonts w:ascii="Arial" w:eastAsia="Times New Roman" w:hAnsi="Arial" w:cs="Arial"/>
        </w:rPr>
      </w:pPr>
      <w:r w:rsidRPr="00FD5933">
        <w:rPr>
          <w:rFonts w:ascii="Arial" w:eastAsia="Times New Roman" w:hAnsi="Arial" w:cs="Arial"/>
          <w:b/>
          <w:bCs/>
        </w:rPr>
        <w:t>Operations</w:t>
      </w:r>
      <w:r w:rsidRPr="00FD5933">
        <w:rPr>
          <w:rFonts w:ascii="Arial" w:eastAsia="Times New Roman" w:hAnsi="Arial" w:cs="Arial"/>
        </w:rPr>
        <w:t xml:space="preserve">: </w:t>
      </w:r>
      <w:r w:rsidR="00D65367" w:rsidRPr="00FD5933">
        <w:rPr>
          <w:rFonts w:ascii="Arial" w:eastAsia="Times New Roman" w:hAnsi="Arial" w:cs="Arial"/>
        </w:rPr>
        <w:t>continue to progress</w:t>
      </w:r>
      <w:r w:rsidR="0032415C" w:rsidRPr="00FD5933">
        <w:rPr>
          <w:rFonts w:ascii="Arial" w:eastAsia="Times New Roman" w:hAnsi="Arial" w:cs="Arial"/>
        </w:rPr>
        <w:t xml:space="preserve"> local projects and initiatives, </w:t>
      </w:r>
      <w:r w:rsidRPr="00FD5933">
        <w:rPr>
          <w:rFonts w:ascii="Arial" w:eastAsia="Times New Roman" w:hAnsi="Arial" w:cs="Arial"/>
        </w:rPr>
        <w:t>demonstrat</w:t>
      </w:r>
      <w:r w:rsidR="0032415C" w:rsidRPr="00FD5933">
        <w:rPr>
          <w:rFonts w:ascii="Arial" w:eastAsia="Times New Roman" w:hAnsi="Arial" w:cs="Arial"/>
        </w:rPr>
        <w:t>ing</w:t>
      </w:r>
      <w:r w:rsidRPr="00FD5933">
        <w:rPr>
          <w:rFonts w:ascii="Arial" w:eastAsia="Times New Roman" w:hAnsi="Arial" w:cs="Arial"/>
        </w:rPr>
        <w:t xml:space="preserve"> high-impact delivery of capital schemes </w:t>
      </w:r>
      <w:r w:rsidR="00B16E26" w:rsidRPr="00FD5933">
        <w:rPr>
          <w:rFonts w:ascii="Arial" w:eastAsia="Times New Roman" w:hAnsi="Arial" w:cs="Arial"/>
        </w:rPr>
        <w:t xml:space="preserve">and test-bed projects, </w:t>
      </w:r>
      <w:r w:rsidR="004305F2" w:rsidRPr="00FD5933">
        <w:rPr>
          <w:rFonts w:ascii="Arial" w:eastAsia="Times New Roman" w:hAnsi="Arial" w:cs="Arial"/>
        </w:rPr>
        <w:t>w</w:t>
      </w:r>
      <w:r w:rsidR="00B16E26" w:rsidRPr="00FD5933">
        <w:rPr>
          <w:rFonts w:ascii="Arial" w:eastAsia="Times New Roman" w:hAnsi="Arial" w:cs="Arial"/>
        </w:rPr>
        <w:t>hilst</w:t>
      </w:r>
      <w:r w:rsidRPr="00FD5933">
        <w:rPr>
          <w:rFonts w:ascii="Arial" w:eastAsia="Times New Roman" w:hAnsi="Arial" w:cs="Arial"/>
        </w:rPr>
        <w:t xml:space="preserve"> develop</w:t>
      </w:r>
      <w:r w:rsidR="00B16E26" w:rsidRPr="00FD5933">
        <w:rPr>
          <w:rFonts w:ascii="Arial" w:eastAsia="Times New Roman" w:hAnsi="Arial" w:cs="Arial"/>
        </w:rPr>
        <w:t>ing</w:t>
      </w:r>
      <w:r w:rsidRPr="00FD5933">
        <w:rPr>
          <w:rFonts w:ascii="Arial" w:eastAsia="Times New Roman" w:hAnsi="Arial" w:cs="Arial"/>
        </w:rPr>
        <w:t xml:space="preserve"> granular-level insight to support policy and investment decisions</w:t>
      </w:r>
      <w:r w:rsidR="00F62A26" w:rsidRPr="00FD5933">
        <w:rPr>
          <w:rFonts w:ascii="Arial" w:eastAsia="Times New Roman" w:hAnsi="Arial" w:cs="Arial"/>
        </w:rPr>
        <w:t>.</w:t>
      </w:r>
    </w:p>
    <w:p w14:paraId="20881B15" w14:textId="7C362649" w:rsidR="0061630E" w:rsidRPr="00FD5933" w:rsidRDefault="0061630E" w:rsidP="008876E4">
      <w:pPr>
        <w:rPr>
          <w:rFonts w:ascii="Arial" w:eastAsiaTheme="minorHAnsi" w:hAnsi="Arial" w:cs="Arial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528"/>
      </w:tblGrid>
      <w:tr w:rsidR="00BF69C8" w:rsidRPr="00FD5933" w14:paraId="6597BB86" w14:textId="77777777" w:rsidTr="00E6296B">
        <w:tc>
          <w:tcPr>
            <w:tcW w:w="4678" w:type="dxa"/>
            <w:tcBorders>
              <w:bottom w:val="single" w:sz="4" w:space="0" w:color="auto"/>
            </w:tcBorders>
          </w:tcPr>
          <w:p w14:paraId="52F171AC" w14:textId="77777777" w:rsidR="00BF69C8" w:rsidRPr="00FD5933" w:rsidRDefault="00BF69C8" w:rsidP="00BF69C8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 w:rsidRPr="00FD5933">
              <w:rPr>
                <w:rFonts w:ascii="Arial" w:hAnsi="Arial" w:cs="Arial"/>
                <w:b/>
                <w:bCs/>
              </w:rPr>
              <w:t>Qtr3: Oct-Dec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3A2BF76" w14:textId="77777777" w:rsidR="00BF69C8" w:rsidRPr="00FD5933" w:rsidRDefault="00BF69C8" w:rsidP="00BF69C8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 w:rsidRPr="00FD5933">
              <w:rPr>
                <w:rFonts w:ascii="Arial" w:hAnsi="Arial" w:cs="Arial"/>
                <w:b/>
                <w:bCs/>
              </w:rPr>
              <w:t>Progress</w:t>
            </w:r>
          </w:p>
        </w:tc>
      </w:tr>
      <w:tr w:rsidR="00BF69C8" w:rsidRPr="00FD5933" w14:paraId="2D0E8941" w14:textId="77777777" w:rsidTr="00E6296B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16799C" w14:textId="77777777" w:rsidR="00BF69C8" w:rsidRPr="00FD5933" w:rsidRDefault="00BF69C8" w:rsidP="00643643">
            <w:pPr>
              <w:tabs>
                <w:tab w:val="left" w:pos="1260"/>
              </w:tabs>
              <w:rPr>
                <w:rFonts w:ascii="Arial" w:hAnsi="Arial" w:cs="Arial"/>
              </w:rPr>
            </w:pPr>
            <w:r w:rsidRPr="00FD5933">
              <w:rPr>
                <w:rFonts w:ascii="Arial" w:hAnsi="Arial" w:cs="Arial"/>
              </w:rPr>
              <w:t xml:space="preserve">Programme Management/M&amp;E of grant programmes </w:t>
            </w:r>
            <w:proofErr w:type="spellStart"/>
            <w:r w:rsidRPr="00FD5933">
              <w:rPr>
                <w:rFonts w:ascii="Arial" w:hAnsi="Arial" w:cs="Arial"/>
              </w:rPr>
              <w:t>incl</w:t>
            </w:r>
            <w:proofErr w:type="spellEnd"/>
            <w:r w:rsidRPr="00FD5933">
              <w:rPr>
                <w:rFonts w:ascii="Arial" w:hAnsi="Arial" w:cs="Arial"/>
              </w:rPr>
              <w:t xml:space="preserve"> LGF / GBF / GPF / EZ’s / ESIF / City Deal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0B5F8E" w14:textId="28470A07" w:rsidR="00BF69C8" w:rsidRDefault="004E3FA5" w:rsidP="000D138F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Sharon continues to proactively project manage</w:t>
            </w:r>
            <w:r w:rsidR="00E91EC5">
              <w:rPr>
                <w:rFonts w:ascii="Arial" w:hAnsi="Arial" w:cs="Arial"/>
              </w:rPr>
              <w:t xml:space="preserve"> the significant </w:t>
            </w:r>
            <w:r w:rsidR="002E625E">
              <w:rPr>
                <w:rFonts w:ascii="Arial" w:hAnsi="Arial" w:cs="Arial"/>
              </w:rPr>
              <w:t xml:space="preserve">LGF and GBF programmes and liaises regularly with </w:t>
            </w:r>
            <w:r w:rsidR="00796F54">
              <w:rPr>
                <w:rFonts w:ascii="Arial" w:hAnsi="Arial" w:cs="Arial"/>
              </w:rPr>
              <w:t>individual programme managers leading on GPF, EZ, ESIF, City Deal</w:t>
            </w:r>
            <w:r w:rsidR="00E40A5C">
              <w:rPr>
                <w:rFonts w:ascii="Arial" w:hAnsi="Arial" w:cs="Arial"/>
              </w:rPr>
              <w:t xml:space="preserve"> etc, to ensure that regular reporting into Exec Board occurs.</w:t>
            </w:r>
          </w:p>
          <w:p w14:paraId="604408B2" w14:textId="13EBF0D9" w:rsidR="00E40A5C" w:rsidRPr="00FD5933" w:rsidRDefault="004753C8" w:rsidP="000D138F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aim is to work with the collective programme management ‘team’ to ensure consistency of reporting</w:t>
            </w:r>
            <w:r w:rsidR="000D138F">
              <w:rPr>
                <w:rFonts w:ascii="Arial" w:hAnsi="Arial" w:cs="Arial"/>
              </w:rPr>
              <w:t xml:space="preserve"> across the investment portfolio</w:t>
            </w:r>
          </w:p>
        </w:tc>
      </w:tr>
      <w:tr w:rsidR="00BF69C8" w:rsidRPr="00FD5933" w14:paraId="1CBDEE8F" w14:textId="77777777" w:rsidTr="00E6296B"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14:paraId="1E7EC3C0" w14:textId="77777777" w:rsidR="00BF69C8" w:rsidRPr="00FD5933" w:rsidRDefault="00BF69C8" w:rsidP="00643643">
            <w:pPr>
              <w:tabs>
                <w:tab w:val="left" w:pos="1260"/>
              </w:tabs>
              <w:rPr>
                <w:rFonts w:ascii="Arial" w:hAnsi="Arial" w:cs="Arial"/>
              </w:rPr>
            </w:pPr>
            <w:r w:rsidRPr="00FD5933">
              <w:rPr>
                <w:rFonts w:ascii="Arial" w:hAnsi="Arial" w:cs="Arial"/>
              </w:rPr>
              <w:lastRenderedPageBreak/>
              <w:t>Recruitment of Growth Hub lead</w:t>
            </w:r>
          </w:p>
          <w:p w14:paraId="240AE6B0" w14:textId="77777777" w:rsidR="00DF0949" w:rsidRPr="009454D0" w:rsidRDefault="00DF0949" w:rsidP="00643643">
            <w:pPr>
              <w:tabs>
                <w:tab w:val="left" w:pos="1260"/>
              </w:tabs>
              <w:rPr>
                <w:rFonts w:ascii="Arial" w:hAnsi="Arial" w:cs="Arial"/>
                <w:sz w:val="32"/>
                <w:szCs w:val="32"/>
              </w:rPr>
            </w:pPr>
          </w:p>
          <w:p w14:paraId="00284C09" w14:textId="1D7D0E34" w:rsidR="00BF69C8" w:rsidRPr="00FD5933" w:rsidRDefault="00BF69C8" w:rsidP="00643643">
            <w:pPr>
              <w:tabs>
                <w:tab w:val="left" w:pos="1260"/>
              </w:tabs>
              <w:rPr>
                <w:rFonts w:ascii="Arial" w:hAnsi="Arial" w:cs="Arial"/>
              </w:rPr>
            </w:pPr>
            <w:r w:rsidRPr="00FD5933">
              <w:rPr>
                <w:rFonts w:ascii="Arial" w:hAnsi="Arial" w:cs="Arial"/>
              </w:rPr>
              <w:t xml:space="preserve">SITREP modelling/testing </w:t>
            </w:r>
            <w:r w:rsidRPr="00FD5933">
              <w:rPr>
                <w:rFonts w:ascii="Arial" w:eastAsia="Times New Roman" w:hAnsi="Arial" w:cs="Arial"/>
              </w:rPr>
              <w:t>Incl.</w:t>
            </w:r>
            <w:r w:rsidR="00CA21C4">
              <w:rPr>
                <w:rFonts w:ascii="Arial" w:eastAsia="Times New Roman" w:hAnsi="Arial" w:cs="Arial"/>
              </w:rPr>
              <w:t xml:space="preserve"> </w:t>
            </w:r>
            <w:r w:rsidRPr="00FD5933">
              <w:rPr>
                <w:rFonts w:ascii="Arial" w:eastAsia="Times New Roman" w:hAnsi="Arial" w:cs="Arial"/>
              </w:rPr>
              <w:t xml:space="preserve">new economic briefing notes developed for local leaders </w:t>
            </w:r>
          </w:p>
          <w:p w14:paraId="2E74537B" w14:textId="77777777" w:rsidR="007C3792" w:rsidRPr="00CA21C4" w:rsidRDefault="007C3792" w:rsidP="00643643">
            <w:pPr>
              <w:tabs>
                <w:tab w:val="left" w:pos="1260"/>
              </w:tabs>
              <w:rPr>
                <w:rFonts w:ascii="Arial" w:eastAsia="Times New Roman" w:hAnsi="Arial" w:cs="Arial"/>
                <w:sz w:val="48"/>
                <w:szCs w:val="48"/>
              </w:rPr>
            </w:pPr>
          </w:p>
          <w:p w14:paraId="24F999FD" w14:textId="3FB3579F" w:rsidR="00BF69C8" w:rsidRPr="00FD5933" w:rsidRDefault="00BF69C8" w:rsidP="00643643">
            <w:pPr>
              <w:tabs>
                <w:tab w:val="left" w:pos="1260"/>
              </w:tabs>
              <w:rPr>
                <w:rFonts w:ascii="Arial" w:eastAsia="Times New Roman" w:hAnsi="Arial" w:cs="Arial"/>
              </w:rPr>
            </w:pPr>
            <w:r w:rsidRPr="00FD5933">
              <w:rPr>
                <w:rFonts w:ascii="Arial" w:eastAsia="Times New Roman" w:hAnsi="Arial" w:cs="Arial"/>
              </w:rPr>
              <w:t>Business Support Review Commission</w:t>
            </w:r>
          </w:p>
          <w:p w14:paraId="1695328A" w14:textId="77777777" w:rsidR="00BF69C8" w:rsidRPr="00FD5933" w:rsidRDefault="00BF69C8" w:rsidP="00643643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14:paraId="22A6A74E" w14:textId="5504E663" w:rsidR="00BF69C8" w:rsidRDefault="00192E19" w:rsidP="00EF5609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JD share with T&amp;F Group and Executive Board</w:t>
            </w:r>
            <w:r w:rsidR="00DF0949">
              <w:rPr>
                <w:rFonts w:ascii="Arial" w:hAnsi="Arial" w:cs="Arial"/>
              </w:rPr>
              <w:t xml:space="preserve"> therefore prepared to action as soon as the LEP Review is concluded</w:t>
            </w:r>
            <w:r w:rsidR="007C3792">
              <w:rPr>
                <w:rFonts w:ascii="Arial" w:hAnsi="Arial" w:cs="Arial"/>
              </w:rPr>
              <w:t>.</w:t>
            </w:r>
          </w:p>
          <w:p w14:paraId="5B292889" w14:textId="6D24E4D2" w:rsidR="00DF0949" w:rsidRDefault="00DF0949" w:rsidP="007C3792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SITREP design team (GC Business) and telemarketing function (Team Telemarketing) appointed.</w:t>
            </w:r>
            <w:r w:rsidR="00ED3FF2">
              <w:rPr>
                <w:rFonts w:ascii="Arial" w:hAnsi="Arial" w:cs="Arial"/>
              </w:rPr>
              <w:t xml:space="preserve"> Stakeholder co-design meeting </w:t>
            </w:r>
            <w:r w:rsidR="00BB1100">
              <w:rPr>
                <w:rFonts w:ascii="Arial" w:hAnsi="Arial" w:cs="Arial"/>
              </w:rPr>
              <w:t>held</w:t>
            </w:r>
            <w:r w:rsidR="00ED3FF2">
              <w:rPr>
                <w:rFonts w:ascii="Arial" w:hAnsi="Arial" w:cs="Arial"/>
              </w:rPr>
              <w:t xml:space="preserve"> 15/11/21. </w:t>
            </w:r>
            <w:r w:rsidR="00BB1100">
              <w:rPr>
                <w:rFonts w:ascii="Arial" w:hAnsi="Arial" w:cs="Arial"/>
              </w:rPr>
              <w:t>Test-bed surveys commenced</w:t>
            </w:r>
            <w:r w:rsidR="00314C47">
              <w:rPr>
                <w:rFonts w:ascii="Arial" w:hAnsi="Arial" w:cs="Arial"/>
              </w:rPr>
              <w:t xml:space="preserve"> 08/12/21</w:t>
            </w:r>
            <w:r w:rsidR="00CA21C4">
              <w:rPr>
                <w:rFonts w:ascii="Arial" w:hAnsi="Arial" w:cs="Arial"/>
              </w:rPr>
              <w:t xml:space="preserve"> with full roll out planned for Jan 22</w:t>
            </w:r>
          </w:p>
          <w:p w14:paraId="74C09FC3" w14:textId="471A133C" w:rsidR="007C3792" w:rsidRPr="00FD5933" w:rsidRDefault="007C3792" w:rsidP="007C3792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action once Head of Growth Hub in post, as a key opportunity for them to engage and learn about the local landscape delivery partners</w:t>
            </w:r>
          </w:p>
        </w:tc>
      </w:tr>
    </w:tbl>
    <w:p w14:paraId="4467BEDF" w14:textId="5B1250B2" w:rsidR="00410F94" w:rsidRPr="00FD5933" w:rsidRDefault="00410F94" w:rsidP="008876E4">
      <w:pPr>
        <w:rPr>
          <w:rFonts w:ascii="Arial" w:eastAsiaTheme="minorHAnsi" w:hAnsi="Arial" w:cs="Arial"/>
        </w:rPr>
      </w:pPr>
    </w:p>
    <w:p w14:paraId="68AE94C7" w14:textId="77777777" w:rsidR="00410F94" w:rsidRPr="00FD5933" w:rsidRDefault="00410F94" w:rsidP="008876E4">
      <w:pPr>
        <w:rPr>
          <w:rFonts w:ascii="Arial" w:eastAsiaTheme="minorHAnsi" w:hAnsi="Arial" w:cs="Arial"/>
        </w:rPr>
      </w:pPr>
    </w:p>
    <w:p w14:paraId="2083C2C8" w14:textId="77777777" w:rsidR="0061630E" w:rsidRPr="00FD5933" w:rsidRDefault="0061630E" w:rsidP="008876E4">
      <w:pPr>
        <w:pStyle w:val="ListParagraph"/>
        <w:numPr>
          <w:ilvl w:val="0"/>
          <w:numId w:val="9"/>
        </w:numPr>
        <w:ind w:left="360"/>
        <w:rPr>
          <w:rFonts w:ascii="Arial" w:eastAsia="Times New Roman" w:hAnsi="Arial" w:cs="Arial"/>
        </w:rPr>
      </w:pPr>
      <w:r w:rsidRPr="00FD5933">
        <w:rPr>
          <w:rFonts w:ascii="Arial" w:eastAsia="Times New Roman" w:hAnsi="Arial" w:cs="Arial"/>
          <w:b/>
          <w:bCs/>
        </w:rPr>
        <w:t>Stakeholder engagement</w:t>
      </w:r>
      <w:r w:rsidRPr="00FD5933">
        <w:rPr>
          <w:rFonts w:ascii="Arial" w:eastAsia="Times New Roman" w:hAnsi="Arial" w:cs="Arial"/>
        </w:rPr>
        <w:t xml:space="preserve">: building </w:t>
      </w:r>
      <w:proofErr w:type="gramStart"/>
      <w:r w:rsidRPr="00FD5933">
        <w:rPr>
          <w:rFonts w:ascii="Arial" w:eastAsia="Times New Roman" w:hAnsi="Arial" w:cs="Arial"/>
        </w:rPr>
        <w:t>mutually-beneficial</w:t>
      </w:r>
      <w:proofErr w:type="gramEnd"/>
      <w:r w:rsidRPr="00FD5933">
        <w:rPr>
          <w:rFonts w:ascii="Arial" w:eastAsia="Times New Roman" w:hAnsi="Arial" w:cs="Arial"/>
        </w:rPr>
        <w:t xml:space="preserve"> relationships at a local/regional/national level whilst amplifying the voice of business and the brand of our place.</w:t>
      </w:r>
    </w:p>
    <w:p w14:paraId="79D43770" w14:textId="77777777" w:rsidR="0061630E" w:rsidRPr="00FD5933" w:rsidRDefault="0061630E" w:rsidP="0061630E">
      <w:pPr>
        <w:pStyle w:val="ListParagraph"/>
        <w:rPr>
          <w:rFonts w:ascii="Arial" w:hAnsi="Arial" w:cs="Arial"/>
        </w:rPr>
      </w:pPr>
    </w:p>
    <w:tbl>
      <w:tblPr>
        <w:tblStyle w:val="TableGrid"/>
        <w:tblW w:w="100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5392"/>
      </w:tblGrid>
      <w:tr w:rsidR="00BF69C8" w:rsidRPr="00FD5933" w14:paraId="34839485" w14:textId="77777777" w:rsidTr="003E2E5B">
        <w:tc>
          <w:tcPr>
            <w:tcW w:w="46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088E20D" w14:textId="06EDC234" w:rsidR="00BF69C8" w:rsidRPr="00FD5933" w:rsidRDefault="00BF69C8" w:rsidP="00A27AC9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 w:rsidRPr="00FD5933">
              <w:rPr>
                <w:rFonts w:ascii="Arial" w:hAnsi="Arial" w:cs="Arial"/>
                <w:b/>
                <w:bCs/>
              </w:rPr>
              <w:t>Qtr3: Oct-Dec</w:t>
            </w:r>
          </w:p>
        </w:tc>
        <w:tc>
          <w:tcPr>
            <w:tcW w:w="53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E54C12D" w14:textId="286FEE08" w:rsidR="00BF69C8" w:rsidRPr="00FD5933" w:rsidRDefault="00BF69C8" w:rsidP="00A27AC9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 w:rsidRPr="00FD5933">
              <w:rPr>
                <w:rFonts w:ascii="Arial" w:hAnsi="Arial" w:cs="Arial"/>
                <w:b/>
                <w:bCs/>
              </w:rPr>
              <w:t>Progress</w:t>
            </w:r>
          </w:p>
        </w:tc>
      </w:tr>
      <w:tr w:rsidR="00BF69C8" w:rsidRPr="00FD5933" w14:paraId="22A77897" w14:textId="77777777" w:rsidTr="003E2E5B">
        <w:tc>
          <w:tcPr>
            <w:tcW w:w="4678" w:type="dxa"/>
            <w:shd w:val="clear" w:color="auto" w:fill="F2F2F2" w:themeFill="background1" w:themeFillShade="F2"/>
          </w:tcPr>
          <w:p w14:paraId="45D6C3CE" w14:textId="77777777" w:rsidR="00BF69C8" w:rsidRPr="00FD5933" w:rsidRDefault="00BF69C8" w:rsidP="00A27AC9">
            <w:pPr>
              <w:tabs>
                <w:tab w:val="left" w:pos="1260"/>
              </w:tabs>
              <w:rPr>
                <w:rFonts w:ascii="Arial" w:hAnsi="Arial" w:cs="Arial"/>
              </w:rPr>
            </w:pPr>
            <w:r w:rsidRPr="00FD5933">
              <w:rPr>
                <w:rFonts w:ascii="Arial" w:hAnsi="Arial" w:cs="Arial"/>
              </w:rPr>
              <w:t>Monthly 121 with all LA Leaders/CEOS</w:t>
            </w:r>
          </w:p>
          <w:p w14:paraId="4BF0510D" w14:textId="77777777" w:rsidR="00C66ABB" w:rsidRPr="003E2E5B" w:rsidRDefault="00C66ABB" w:rsidP="00A27AC9">
            <w:pPr>
              <w:tabs>
                <w:tab w:val="left" w:pos="1260"/>
              </w:tabs>
              <w:rPr>
                <w:rFonts w:ascii="Arial" w:hAnsi="Arial" w:cs="Arial"/>
                <w:sz w:val="32"/>
                <w:szCs w:val="32"/>
              </w:rPr>
            </w:pPr>
          </w:p>
          <w:p w14:paraId="17FCEFC8" w14:textId="77777777" w:rsidR="00BC77B7" w:rsidRDefault="00BC77B7" w:rsidP="00A27AC9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  <w:p w14:paraId="31505698" w14:textId="77777777" w:rsidR="00BC77B7" w:rsidRDefault="00BC77B7" w:rsidP="00A27AC9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  <w:p w14:paraId="5B229ED9" w14:textId="5D877996" w:rsidR="00BF69C8" w:rsidRPr="00FD5933" w:rsidRDefault="00BF69C8" w:rsidP="00A27AC9">
            <w:pPr>
              <w:tabs>
                <w:tab w:val="left" w:pos="1260"/>
              </w:tabs>
              <w:rPr>
                <w:rFonts w:ascii="Arial" w:hAnsi="Arial" w:cs="Arial"/>
              </w:rPr>
            </w:pPr>
            <w:r w:rsidRPr="00FD5933">
              <w:rPr>
                <w:rFonts w:ascii="Arial" w:hAnsi="Arial" w:cs="Arial"/>
              </w:rPr>
              <w:t>Covid response task force</w:t>
            </w:r>
          </w:p>
          <w:p w14:paraId="1CDEB912" w14:textId="77777777" w:rsidR="00E6567F" w:rsidRDefault="00E6567F" w:rsidP="00A27AC9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  <w:p w14:paraId="5E2BA159" w14:textId="77777777" w:rsidR="00E6567F" w:rsidRPr="003E2E5B" w:rsidRDefault="00E6567F" w:rsidP="00A27AC9">
            <w:pPr>
              <w:tabs>
                <w:tab w:val="left" w:pos="1260"/>
              </w:tabs>
              <w:rPr>
                <w:rFonts w:ascii="Arial" w:hAnsi="Arial" w:cs="Arial"/>
                <w:sz w:val="40"/>
                <w:szCs w:val="40"/>
              </w:rPr>
            </w:pPr>
          </w:p>
          <w:p w14:paraId="1E86C03C" w14:textId="4AD9CD04" w:rsidR="00BF69C8" w:rsidRPr="00FD5933" w:rsidRDefault="00BF69C8" w:rsidP="00A27AC9">
            <w:pPr>
              <w:tabs>
                <w:tab w:val="left" w:pos="1260"/>
              </w:tabs>
              <w:rPr>
                <w:rFonts w:ascii="Arial" w:hAnsi="Arial" w:cs="Arial"/>
              </w:rPr>
            </w:pPr>
            <w:r w:rsidRPr="00FD5933">
              <w:rPr>
                <w:rFonts w:ascii="Arial" w:hAnsi="Arial" w:cs="Arial"/>
              </w:rPr>
              <w:t>Network of Networks event</w:t>
            </w:r>
          </w:p>
          <w:p w14:paraId="477F7DB0" w14:textId="77777777" w:rsidR="00E548F7" w:rsidRDefault="00E548F7" w:rsidP="00A27AC9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  <w:p w14:paraId="4E5F93B1" w14:textId="77777777" w:rsidR="00E548F7" w:rsidRPr="003E2E5B" w:rsidRDefault="00E548F7" w:rsidP="00A27AC9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0D53D3C" w14:textId="01059631" w:rsidR="00BF69C8" w:rsidRPr="00FD5933" w:rsidRDefault="00BF69C8" w:rsidP="00A27AC9">
            <w:pPr>
              <w:tabs>
                <w:tab w:val="left" w:pos="1260"/>
              </w:tabs>
              <w:rPr>
                <w:rFonts w:ascii="Arial" w:hAnsi="Arial" w:cs="Arial"/>
              </w:rPr>
            </w:pPr>
            <w:r w:rsidRPr="00FD5933">
              <w:rPr>
                <w:rFonts w:ascii="Arial" w:hAnsi="Arial" w:cs="Arial"/>
              </w:rPr>
              <w:t>Strategic engagement with local initiatives and working groups to accelerate growth</w:t>
            </w:r>
          </w:p>
          <w:p w14:paraId="4CB1C2FE" w14:textId="77777777" w:rsidR="00544799" w:rsidRDefault="00544799" w:rsidP="00A27AC9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  <w:p w14:paraId="3E568FDA" w14:textId="77777777" w:rsidR="00544799" w:rsidRPr="0036407C" w:rsidRDefault="00544799" w:rsidP="00A27AC9">
            <w:pPr>
              <w:tabs>
                <w:tab w:val="left" w:pos="1260"/>
              </w:tabs>
              <w:rPr>
                <w:rFonts w:ascii="Arial" w:hAnsi="Arial" w:cs="Arial"/>
                <w:sz w:val="56"/>
                <w:szCs w:val="56"/>
              </w:rPr>
            </w:pPr>
          </w:p>
          <w:p w14:paraId="5E6A2708" w14:textId="5A926C6E" w:rsidR="00BF69C8" w:rsidRPr="00FD5933" w:rsidRDefault="00BF69C8" w:rsidP="00A27AC9">
            <w:pPr>
              <w:tabs>
                <w:tab w:val="left" w:pos="1260"/>
              </w:tabs>
              <w:rPr>
                <w:rFonts w:ascii="Arial" w:hAnsi="Arial" w:cs="Arial"/>
              </w:rPr>
            </w:pPr>
            <w:r w:rsidRPr="00FD5933">
              <w:rPr>
                <w:rFonts w:ascii="Arial" w:hAnsi="Arial" w:cs="Arial"/>
              </w:rPr>
              <w:t>Championing the interests of SOT/Staffs through strategic engagement with Midlands Engine/LEP Network/Peers/ Government</w:t>
            </w:r>
          </w:p>
        </w:tc>
        <w:tc>
          <w:tcPr>
            <w:tcW w:w="5392" w:type="dxa"/>
            <w:tcBorders>
              <w:right w:val="nil"/>
            </w:tcBorders>
            <w:shd w:val="clear" w:color="auto" w:fill="F2F2F2" w:themeFill="background1" w:themeFillShade="F2"/>
          </w:tcPr>
          <w:p w14:paraId="750AC7FE" w14:textId="54397598" w:rsidR="00066ED1" w:rsidRPr="00BC77B7" w:rsidRDefault="00AF5B4A" w:rsidP="00BC77B7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121s taking place on a regular basis</w:t>
            </w:r>
            <w:r w:rsidR="00C66ABB">
              <w:rPr>
                <w:rFonts w:ascii="Arial" w:hAnsi="Arial" w:cs="Arial"/>
              </w:rPr>
              <w:t xml:space="preserve"> improving communication and collaboration between ourselves and local partners</w:t>
            </w:r>
            <w:r w:rsidR="00673EA2">
              <w:rPr>
                <w:rFonts w:ascii="Arial" w:hAnsi="Arial" w:cs="Arial"/>
              </w:rPr>
              <w:t xml:space="preserve">. This month’s engagements </w:t>
            </w:r>
            <w:proofErr w:type="gramStart"/>
            <w:r w:rsidR="00673EA2">
              <w:rPr>
                <w:rFonts w:ascii="Arial" w:hAnsi="Arial" w:cs="Arial"/>
              </w:rPr>
              <w:t>include:</w:t>
            </w:r>
            <w:proofErr w:type="gramEnd"/>
            <w:r w:rsidR="00673EA2">
              <w:rPr>
                <w:rFonts w:ascii="Arial" w:hAnsi="Arial" w:cs="Arial"/>
              </w:rPr>
              <w:t xml:space="preserve"> </w:t>
            </w:r>
            <w:r w:rsidR="00DB4D7C">
              <w:rPr>
                <w:rFonts w:ascii="Arial" w:hAnsi="Arial" w:cs="Arial"/>
              </w:rPr>
              <w:t>Economic growth district directors</w:t>
            </w:r>
            <w:r w:rsidR="00673EA2">
              <w:rPr>
                <w:rFonts w:ascii="Arial" w:hAnsi="Arial" w:cs="Arial"/>
              </w:rPr>
              <w:t xml:space="preserve">, </w:t>
            </w:r>
            <w:r w:rsidR="00DB4D7C" w:rsidRPr="00673EA2">
              <w:rPr>
                <w:rFonts w:ascii="Arial" w:hAnsi="Arial" w:cs="Arial"/>
              </w:rPr>
              <w:t>Staffordshire Moorlands DC</w:t>
            </w:r>
            <w:r w:rsidR="00BC77B7">
              <w:rPr>
                <w:rFonts w:ascii="Arial" w:hAnsi="Arial" w:cs="Arial"/>
              </w:rPr>
              <w:t xml:space="preserve">, </w:t>
            </w:r>
            <w:r w:rsidR="00066ED1" w:rsidRPr="00BC77B7">
              <w:rPr>
                <w:rFonts w:ascii="Arial" w:hAnsi="Arial" w:cs="Arial"/>
              </w:rPr>
              <w:t>Lichfield DC</w:t>
            </w:r>
            <w:r w:rsidR="00BC77B7">
              <w:rPr>
                <w:rFonts w:ascii="Arial" w:hAnsi="Arial" w:cs="Arial"/>
              </w:rPr>
              <w:t xml:space="preserve"> and </w:t>
            </w:r>
            <w:r w:rsidR="00066ED1" w:rsidRPr="00BC77B7">
              <w:rPr>
                <w:rFonts w:ascii="Arial" w:hAnsi="Arial" w:cs="Arial"/>
              </w:rPr>
              <w:t>Tamworth BC</w:t>
            </w:r>
          </w:p>
          <w:p w14:paraId="49C5495B" w14:textId="77777777" w:rsidR="00DB4D7C" w:rsidRPr="00823CB5" w:rsidRDefault="00DB4D7C" w:rsidP="00066ED1">
            <w:pPr>
              <w:pStyle w:val="ListParagraph"/>
              <w:tabs>
                <w:tab w:val="left" w:pos="1260"/>
              </w:tabs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15BD89DA" w14:textId="79656B83" w:rsidR="00C66ABB" w:rsidRDefault="0047042D" w:rsidP="00C66ABB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Taskforce has been </w:t>
            </w:r>
            <w:r w:rsidR="00D17765">
              <w:rPr>
                <w:rFonts w:ascii="Arial" w:hAnsi="Arial" w:cs="Arial"/>
              </w:rPr>
              <w:t xml:space="preserve">a useful forum for local leaders to share information and agree action. The group has </w:t>
            </w:r>
            <w:r w:rsidR="0072404B">
              <w:rPr>
                <w:rFonts w:ascii="Arial" w:hAnsi="Arial" w:cs="Arial"/>
              </w:rPr>
              <w:t xml:space="preserve">paused given the re-opening of the </w:t>
            </w:r>
            <w:proofErr w:type="gramStart"/>
            <w:r w:rsidR="0072404B">
              <w:rPr>
                <w:rFonts w:ascii="Arial" w:hAnsi="Arial" w:cs="Arial"/>
              </w:rPr>
              <w:t>economy</w:t>
            </w:r>
            <w:proofErr w:type="gramEnd"/>
            <w:r w:rsidR="0072404B">
              <w:rPr>
                <w:rFonts w:ascii="Arial" w:hAnsi="Arial" w:cs="Arial"/>
              </w:rPr>
              <w:t xml:space="preserve"> but an appetite exists for </w:t>
            </w:r>
            <w:r w:rsidR="00E6567F">
              <w:rPr>
                <w:rFonts w:ascii="Arial" w:hAnsi="Arial" w:cs="Arial"/>
              </w:rPr>
              <w:t>future meetings of this nature</w:t>
            </w:r>
            <w:r w:rsidR="000B3D82">
              <w:rPr>
                <w:rFonts w:ascii="Arial" w:hAnsi="Arial" w:cs="Arial"/>
              </w:rPr>
              <w:t>. Next meeting planned 21 Dec 21</w:t>
            </w:r>
          </w:p>
          <w:p w14:paraId="08A8F09D" w14:textId="70775798" w:rsidR="00E6567F" w:rsidRDefault="00474B3E" w:rsidP="00C66ABB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further meetings in 2021</w:t>
            </w:r>
          </w:p>
          <w:p w14:paraId="2D680E4B" w14:textId="77777777" w:rsidR="00732631" w:rsidRDefault="00732631" w:rsidP="00C66ABB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</w:p>
          <w:p w14:paraId="6DA02090" w14:textId="77777777" w:rsidR="00732631" w:rsidRDefault="00732631" w:rsidP="00C66ABB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</w:p>
          <w:p w14:paraId="52F91F87" w14:textId="0BF914D0" w:rsidR="008B6AB6" w:rsidRDefault="00F65CE6" w:rsidP="00C66ABB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this month included</w:t>
            </w:r>
            <w:r w:rsidR="00544799">
              <w:rPr>
                <w:rFonts w:ascii="Arial" w:hAnsi="Arial" w:cs="Arial"/>
              </w:rPr>
              <w:t xml:space="preserve"> engagement with</w:t>
            </w:r>
            <w:r>
              <w:rPr>
                <w:rFonts w:ascii="Arial" w:hAnsi="Arial" w:cs="Arial"/>
              </w:rPr>
              <w:t>:</w:t>
            </w:r>
          </w:p>
          <w:p w14:paraId="3D45C4E4" w14:textId="18182772" w:rsidR="00722A47" w:rsidRDefault="00B87CF0" w:rsidP="00C66ABB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Lichfield DC Peer Review</w:t>
            </w:r>
            <w:r w:rsidR="00732631">
              <w:rPr>
                <w:rFonts w:ascii="Arial" w:hAnsi="Arial" w:cs="Arial"/>
              </w:rPr>
              <w:t xml:space="preserve">, </w:t>
            </w:r>
            <w:r w:rsidR="00587BF5">
              <w:rPr>
                <w:rFonts w:ascii="Arial" w:hAnsi="Arial" w:cs="Arial"/>
              </w:rPr>
              <w:t>Growth Hub</w:t>
            </w:r>
            <w:r w:rsidR="000D236B">
              <w:rPr>
                <w:rFonts w:ascii="Arial" w:hAnsi="Arial" w:cs="Arial"/>
              </w:rPr>
              <w:t xml:space="preserve">, </w:t>
            </w:r>
            <w:r w:rsidR="00732631">
              <w:rPr>
                <w:rFonts w:ascii="Arial" w:hAnsi="Arial" w:cs="Arial"/>
              </w:rPr>
              <w:t xml:space="preserve">SOT </w:t>
            </w:r>
            <w:r w:rsidR="00587BF5">
              <w:rPr>
                <w:rFonts w:ascii="Arial" w:hAnsi="Arial" w:cs="Arial"/>
              </w:rPr>
              <w:t>Opportunities Taskforce</w:t>
            </w:r>
            <w:r w:rsidR="00732631">
              <w:rPr>
                <w:rFonts w:ascii="Arial" w:hAnsi="Arial" w:cs="Arial"/>
              </w:rPr>
              <w:t xml:space="preserve">, </w:t>
            </w:r>
            <w:r w:rsidR="00722A47">
              <w:rPr>
                <w:rFonts w:ascii="Arial" w:hAnsi="Arial" w:cs="Arial"/>
              </w:rPr>
              <w:t>So</w:t>
            </w:r>
            <w:r w:rsidR="00C40CD0">
              <w:rPr>
                <w:rFonts w:ascii="Arial" w:hAnsi="Arial" w:cs="Arial"/>
              </w:rPr>
              <w:t>uth</w:t>
            </w:r>
            <w:r w:rsidR="00722A47">
              <w:rPr>
                <w:rFonts w:ascii="Arial" w:hAnsi="Arial" w:cs="Arial"/>
              </w:rPr>
              <w:t xml:space="preserve"> Staffordshire</w:t>
            </w:r>
            <w:r w:rsidR="00C40CD0">
              <w:rPr>
                <w:rFonts w:ascii="Arial" w:hAnsi="Arial" w:cs="Arial"/>
              </w:rPr>
              <w:t xml:space="preserve"> (EDNA input</w:t>
            </w:r>
            <w:r w:rsidR="00066ED1">
              <w:rPr>
                <w:rFonts w:ascii="Arial" w:hAnsi="Arial" w:cs="Arial"/>
              </w:rPr>
              <w:t>)</w:t>
            </w:r>
            <w:r w:rsidR="000D236B">
              <w:rPr>
                <w:rFonts w:ascii="Arial" w:hAnsi="Arial" w:cs="Arial"/>
              </w:rPr>
              <w:t xml:space="preserve">, </w:t>
            </w:r>
            <w:r w:rsidR="00BF5A52">
              <w:rPr>
                <w:rFonts w:ascii="Arial" w:hAnsi="Arial" w:cs="Arial"/>
              </w:rPr>
              <w:t>Keele University</w:t>
            </w:r>
            <w:r w:rsidR="00AE6637">
              <w:rPr>
                <w:rFonts w:ascii="Arial" w:hAnsi="Arial" w:cs="Arial"/>
              </w:rPr>
              <w:t xml:space="preserve"> Future Staffordshire event, Staffordshire Chamber AGM</w:t>
            </w:r>
            <w:r w:rsidR="00B53DC5">
              <w:rPr>
                <w:rFonts w:ascii="Arial" w:hAnsi="Arial" w:cs="Arial"/>
              </w:rPr>
              <w:t xml:space="preserve">, Countywide Redundancy Task Force, </w:t>
            </w:r>
            <w:r w:rsidR="005B7251">
              <w:rPr>
                <w:rFonts w:ascii="Arial" w:hAnsi="Arial" w:cs="Arial"/>
              </w:rPr>
              <w:t xml:space="preserve">Jobs 22 launch, </w:t>
            </w:r>
          </w:p>
          <w:p w14:paraId="29685592" w14:textId="0D0E0A5E" w:rsidR="00F91919" w:rsidRPr="00FD5933" w:rsidRDefault="00AC3BCA" w:rsidP="00365ADE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Meetings held this month</w:t>
            </w:r>
            <w:r w:rsidR="003F42B5">
              <w:rPr>
                <w:rFonts w:ascii="Arial" w:hAnsi="Arial" w:cs="Arial"/>
              </w:rPr>
              <w:t xml:space="preserve"> </w:t>
            </w:r>
            <w:proofErr w:type="gramStart"/>
            <w:r w:rsidR="003F42B5">
              <w:rPr>
                <w:rFonts w:ascii="Arial" w:hAnsi="Arial" w:cs="Arial"/>
              </w:rPr>
              <w:t>include:</w:t>
            </w:r>
            <w:proofErr w:type="gramEnd"/>
            <w:r w:rsidR="003F42B5">
              <w:rPr>
                <w:rFonts w:ascii="Arial" w:hAnsi="Arial" w:cs="Arial"/>
              </w:rPr>
              <w:t xml:space="preserve"> </w:t>
            </w:r>
            <w:r w:rsidR="000D236B">
              <w:rPr>
                <w:rFonts w:ascii="Arial" w:hAnsi="Arial" w:cs="Arial"/>
              </w:rPr>
              <w:t>Midlands Energy Hub Board, Department for International Trade, Midlands Energy Summit, Inst Economic Dev, Midlands Connect,</w:t>
            </w:r>
            <w:r w:rsidR="000C5B27">
              <w:rPr>
                <w:rFonts w:ascii="Arial" w:hAnsi="Arial" w:cs="Arial"/>
              </w:rPr>
              <w:t xml:space="preserve"> Midlands LEP peers</w:t>
            </w:r>
            <w:r w:rsidR="002A025A">
              <w:rPr>
                <w:rFonts w:ascii="Arial" w:hAnsi="Arial" w:cs="Arial"/>
              </w:rPr>
              <w:t>, Made S</w:t>
            </w:r>
            <w:r w:rsidR="00FA2019">
              <w:rPr>
                <w:rFonts w:ascii="Arial" w:hAnsi="Arial" w:cs="Arial"/>
              </w:rPr>
              <w:t>marter</w:t>
            </w:r>
            <w:r w:rsidR="00365ADE">
              <w:rPr>
                <w:rFonts w:ascii="Arial" w:hAnsi="Arial" w:cs="Arial"/>
              </w:rPr>
              <w:t xml:space="preserve"> </w:t>
            </w:r>
          </w:p>
        </w:tc>
      </w:tr>
      <w:tr w:rsidR="00BF69C8" w:rsidRPr="00FD5933" w14:paraId="1F6788F9" w14:textId="77777777" w:rsidTr="003E2E5B">
        <w:tc>
          <w:tcPr>
            <w:tcW w:w="4678" w:type="dxa"/>
            <w:tcBorders>
              <w:bottom w:val="nil"/>
            </w:tcBorders>
          </w:tcPr>
          <w:p w14:paraId="151CF636" w14:textId="77777777" w:rsidR="00BF69C8" w:rsidRPr="00FD5933" w:rsidRDefault="00BF69C8" w:rsidP="003613AB">
            <w:pPr>
              <w:tabs>
                <w:tab w:val="left" w:pos="1260"/>
              </w:tabs>
              <w:rPr>
                <w:rFonts w:ascii="Arial" w:hAnsi="Arial" w:cs="Arial"/>
              </w:rPr>
            </w:pPr>
            <w:r w:rsidRPr="00FD5933">
              <w:rPr>
                <w:rFonts w:ascii="Arial" w:hAnsi="Arial" w:cs="Arial"/>
              </w:rPr>
              <w:t>Business engagement: test-bed survey launch</w:t>
            </w:r>
          </w:p>
          <w:p w14:paraId="131E2B58" w14:textId="77777777" w:rsidR="00BF69C8" w:rsidRPr="00FD5933" w:rsidRDefault="00BF69C8" w:rsidP="003613AB">
            <w:pPr>
              <w:tabs>
                <w:tab w:val="left" w:pos="1260"/>
              </w:tabs>
              <w:rPr>
                <w:rFonts w:ascii="Arial" w:hAnsi="Arial" w:cs="Arial"/>
              </w:rPr>
            </w:pPr>
            <w:r w:rsidRPr="00FD5933">
              <w:rPr>
                <w:rFonts w:ascii="Arial" w:hAnsi="Arial" w:cs="Arial"/>
              </w:rPr>
              <w:lastRenderedPageBreak/>
              <w:t xml:space="preserve">Thought leadership: series of round table events - economic changes/recovery/net zero etc </w:t>
            </w:r>
          </w:p>
          <w:p w14:paraId="769585F7" w14:textId="5B1B5768" w:rsidR="00BF69C8" w:rsidRPr="00FD5933" w:rsidRDefault="00BF69C8" w:rsidP="00D71479">
            <w:pPr>
              <w:tabs>
                <w:tab w:val="left" w:pos="1260"/>
              </w:tabs>
              <w:rPr>
                <w:rFonts w:ascii="Arial" w:hAnsi="Arial" w:cs="Arial"/>
              </w:rPr>
            </w:pPr>
            <w:r w:rsidRPr="00FD5933">
              <w:rPr>
                <w:rFonts w:ascii="Arial" w:hAnsi="Arial" w:cs="Arial"/>
              </w:rPr>
              <w:t>Strategy refresh consultation</w:t>
            </w:r>
          </w:p>
        </w:tc>
        <w:tc>
          <w:tcPr>
            <w:tcW w:w="5392" w:type="dxa"/>
            <w:tcBorders>
              <w:bottom w:val="nil"/>
              <w:right w:val="nil"/>
            </w:tcBorders>
          </w:tcPr>
          <w:p w14:paraId="6C9D9A7E" w14:textId="48447693" w:rsidR="00BF69C8" w:rsidRDefault="00AC02A7" w:rsidP="00A27AC9">
            <w:pPr>
              <w:tabs>
                <w:tab w:val="left" w:pos="1260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Test-bed</w:t>
            </w:r>
            <w:proofErr w:type="gramEnd"/>
            <w:r>
              <w:rPr>
                <w:rFonts w:ascii="Arial" w:hAnsi="Arial" w:cs="Arial"/>
              </w:rPr>
              <w:t xml:space="preserve"> commences 8</w:t>
            </w:r>
            <w:r w:rsidR="00297D68">
              <w:rPr>
                <w:rFonts w:ascii="Arial" w:hAnsi="Arial" w:cs="Arial"/>
              </w:rPr>
              <w:t xml:space="preserve"> Dec and rolled out Jan/Feb 22</w:t>
            </w:r>
          </w:p>
          <w:p w14:paraId="637064D5" w14:textId="77777777" w:rsidR="00B75AD8" w:rsidRDefault="00B75AD8" w:rsidP="00A27AC9">
            <w:pPr>
              <w:tabs>
                <w:tab w:val="left" w:pos="12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Not yet commenced: All planning/preparation in place</w:t>
            </w:r>
            <w:r w:rsidR="00EE070B">
              <w:rPr>
                <w:rFonts w:ascii="Arial" w:hAnsi="Arial" w:cs="Arial"/>
              </w:rPr>
              <w:t>, to commence Jan 22.</w:t>
            </w:r>
          </w:p>
          <w:p w14:paraId="4D01B8F7" w14:textId="77777777" w:rsidR="002F1E66" w:rsidRPr="002F1E66" w:rsidRDefault="002F1E66" w:rsidP="00A27AC9">
            <w:pPr>
              <w:tabs>
                <w:tab w:val="left" w:pos="1260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61414100" w14:textId="78100B20" w:rsidR="002F1E66" w:rsidRPr="00FD5933" w:rsidRDefault="002F1E66" w:rsidP="00A27AC9">
            <w:pPr>
              <w:tabs>
                <w:tab w:val="left" w:pos="12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commence post-strategy refresh</w:t>
            </w:r>
          </w:p>
        </w:tc>
      </w:tr>
    </w:tbl>
    <w:p w14:paraId="2A0CB2E0" w14:textId="376FC3D9" w:rsidR="00E159E7" w:rsidRPr="00FD5933" w:rsidRDefault="00E159E7" w:rsidP="00BC14DF">
      <w:pPr>
        <w:tabs>
          <w:tab w:val="left" w:pos="1260"/>
        </w:tabs>
        <w:rPr>
          <w:rFonts w:ascii="Arial" w:hAnsi="Arial" w:cs="Arial"/>
        </w:rPr>
      </w:pPr>
    </w:p>
    <w:p w14:paraId="27CDE2C6" w14:textId="23839769" w:rsidR="00FD5933" w:rsidRPr="00FD5933" w:rsidRDefault="00FD5933" w:rsidP="00BC14DF">
      <w:pPr>
        <w:tabs>
          <w:tab w:val="left" w:pos="1260"/>
        </w:tabs>
        <w:rPr>
          <w:rFonts w:ascii="Arial" w:hAnsi="Arial" w:cs="Arial"/>
          <w:u w:val="single"/>
        </w:rPr>
      </w:pPr>
      <w:r w:rsidRPr="00FD5933">
        <w:rPr>
          <w:rFonts w:ascii="Arial" w:hAnsi="Arial" w:cs="Arial"/>
          <w:u w:val="single"/>
        </w:rPr>
        <w:t>Staffing:</w:t>
      </w:r>
    </w:p>
    <w:p w14:paraId="2192CD38" w14:textId="1F647537" w:rsidR="00174E45" w:rsidRDefault="00D164F0" w:rsidP="00771747">
      <w:pPr>
        <w:pStyle w:val="ListParagraph"/>
        <w:numPr>
          <w:ilvl w:val="0"/>
          <w:numId w:val="12"/>
        </w:num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>No Change</w:t>
      </w:r>
    </w:p>
    <w:p w14:paraId="31257B37" w14:textId="77777777" w:rsidR="00771747" w:rsidRPr="00771747" w:rsidRDefault="00771747" w:rsidP="00771747">
      <w:pPr>
        <w:pStyle w:val="ListParagraph"/>
        <w:tabs>
          <w:tab w:val="left" w:pos="1260"/>
        </w:tabs>
        <w:rPr>
          <w:rFonts w:ascii="Arial" w:hAnsi="Arial" w:cs="Arial"/>
        </w:rPr>
      </w:pPr>
    </w:p>
    <w:p w14:paraId="18949DCD" w14:textId="3525B524" w:rsidR="00174E45" w:rsidRPr="00174E45" w:rsidRDefault="00174E45" w:rsidP="00BC14DF">
      <w:pPr>
        <w:tabs>
          <w:tab w:val="left" w:pos="1260"/>
        </w:tabs>
        <w:rPr>
          <w:rFonts w:ascii="Arial" w:hAnsi="Arial" w:cs="Arial"/>
          <w:u w:val="single"/>
        </w:rPr>
      </w:pPr>
      <w:r w:rsidRPr="00174E45">
        <w:rPr>
          <w:rFonts w:ascii="Arial" w:hAnsi="Arial" w:cs="Arial"/>
          <w:u w:val="single"/>
        </w:rPr>
        <w:t>Operational risks:</w:t>
      </w:r>
    </w:p>
    <w:p w14:paraId="29728E74" w14:textId="0ED995B4" w:rsidR="00DA14F2" w:rsidRDefault="00DA14F2" w:rsidP="00E42CE2">
      <w:pPr>
        <w:tabs>
          <w:tab w:val="left" w:pos="1260"/>
        </w:tabs>
        <w:jc w:val="both"/>
        <w:rPr>
          <w:rFonts w:ascii="Arial" w:hAnsi="Arial" w:cs="Arial"/>
        </w:rPr>
      </w:pPr>
      <w:r w:rsidRPr="00072CA0">
        <w:rPr>
          <w:rFonts w:ascii="Arial" w:hAnsi="Arial" w:cs="Arial"/>
          <w:b/>
          <w:bCs/>
        </w:rPr>
        <w:t>Demand on resources</w:t>
      </w:r>
      <w:r w:rsidR="00583B19">
        <w:rPr>
          <w:rFonts w:ascii="Arial" w:hAnsi="Arial" w:cs="Arial"/>
        </w:rPr>
        <w:t>: Local and regional partners continue to engage with the LEP team</w:t>
      </w:r>
      <w:r w:rsidR="002A6663">
        <w:rPr>
          <w:rFonts w:ascii="Arial" w:hAnsi="Arial" w:cs="Arial"/>
        </w:rPr>
        <w:t xml:space="preserve"> and seek input into local plans and developments</w:t>
      </w:r>
      <w:r w:rsidR="00BC6B3C">
        <w:rPr>
          <w:rFonts w:ascii="Arial" w:hAnsi="Arial" w:cs="Arial"/>
        </w:rPr>
        <w:t xml:space="preserve">. Limited resources hamper our ability to engage as widely as we </w:t>
      </w:r>
      <w:r w:rsidR="00072CA0">
        <w:rPr>
          <w:rFonts w:ascii="Arial" w:hAnsi="Arial" w:cs="Arial"/>
        </w:rPr>
        <w:t>could, impeding our ability to influence and add-value.</w:t>
      </w:r>
      <w:r w:rsidR="002A6663">
        <w:rPr>
          <w:rFonts w:ascii="Arial" w:hAnsi="Arial" w:cs="Arial"/>
        </w:rPr>
        <w:t xml:space="preserve"> </w:t>
      </w:r>
    </w:p>
    <w:p w14:paraId="02A3059E" w14:textId="465DCFD2" w:rsidR="00174E45" w:rsidRPr="00FD5933" w:rsidRDefault="00174E45" w:rsidP="00E42CE2">
      <w:pPr>
        <w:tabs>
          <w:tab w:val="left" w:pos="1260"/>
        </w:tabs>
        <w:jc w:val="both"/>
        <w:rPr>
          <w:rFonts w:ascii="Arial" w:hAnsi="Arial" w:cs="Arial"/>
        </w:rPr>
      </w:pPr>
      <w:r w:rsidRPr="007857F2">
        <w:rPr>
          <w:rFonts w:ascii="Arial" w:hAnsi="Arial" w:cs="Arial"/>
          <w:b/>
          <w:bCs/>
        </w:rPr>
        <w:t>Loss of key personnel</w:t>
      </w:r>
      <w:r w:rsidR="008D2FE7">
        <w:rPr>
          <w:rFonts w:ascii="Arial" w:hAnsi="Arial" w:cs="Arial"/>
        </w:rPr>
        <w:t xml:space="preserve">: Whilst current staff contracts provide agility in terms of scaling up/winding down the organisation, it also </w:t>
      </w:r>
      <w:r w:rsidR="007D30EA">
        <w:rPr>
          <w:rFonts w:ascii="Arial" w:hAnsi="Arial" w:cs="Arial"/>
        </w:rPr>
        <w:t>exposes fragility</w:t>
      </w:r>
      <w:r w:rsidR="00731B63">
        <w:rPr>
          <w:rFonts w:ascii="Arial" w:hAnsi="Arial" w:cs="Arial"/>
        </w:rPr>
        <w:t xml:space="preserve"> </w:t>
      </w:r>
      <w:r w:rsidR="00D56C87">
        <w:rPr>
          <w:rFonts w:ascii="Arial" w:hAnsi="Arial" w:cs="Arial"/>
        </w:rPr>
        <w:t>in the temporary nature of contracts. O</w:t>
      </w:r>
      <w:r w:rsidR="00DC209A">
        <w:rPr>
          <w:rFonts w:ascii="Arial" w:hAnsi="Arial" w:cs="Arial"/>
        </w:rPr>
        <w:t>f</w:t>
      </w:r>
      <w:r w:rsidR="00D56C87">
        <w:rPr>
          <w:rFonts w:ascii="Arial" w:hAnsi="Arial" w:cs="Arial"/>
        </w:rPr>
        <w:t xml:space="preserve"> the </w:t>
      </w:r>
      <w:r w:rsidR="00DB07F9">
        <w:rPr>
          <w:rFonts w:ascii="Arial" w:hAnsi="Arial" w:cs="Arial"/>
        </w:rPr>
        <w:t>3.3 FTE resource, 1.5 FTE could be lost within 1 month</w:t>
      </w:r>
      <w:r w:rsidR="007B7FC2">
        <w:rPr>
          <w:rFonts w:ascii="Arial" w:hAnsi="Arial" w:cs="Arial"/>
        </w:rPr>
        <w:t xml:space="preserve"> (notice period), impacting on organisational memory and capacity.</w:t>
      </w:r>
      <w:r w:rsidR="00DC209A">
        <w:rPr>
          <w:rFonts w:ascii="Arial" w:hAnsi="Arial" w:cs="Arial"/>
        </w:rPr>
        <w:t xml:space="preserve"> LEPs across the country are experi</w:t>
      </w:r>
      <w:r w:rsidR="007857F2">
        <w:rPr>
          <w:rFonts w:ascii="Arial" w:hAnsi="Arial" w:cs="Arial"/>
        </w:rPr>
        <w:t>encing staffing disruption due to uncertainty created by the extended LEP Review.</w:t>
      </w:r>
    </w:p>
    <w:sectPr w:rsidR="00174E45" w:rsidRPr="00FD5933" w:rsidSect="00E91E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77" w:right="794" w:bottom="397" w:left="96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507E" w14:textId="77777777" w:rsidR="00A60FCD" w:rsidRDefault="00A60FCD" w:rsidP="00FF65E3">
      <w:pPr>
        <w:spacing w:after="0" w:line="240" w:lineRule="auto"/>
      </w:pPr>
      <w:r>
        <w:separator/>
      </w:r>
    </w:p>
  </w:endnote>
  <w:endnote w:type="continuationSeparator" w:id="0">
    <w:p w14:paraId="6E03AAD8" w14:textId="77777777" w:rsidR="00A60FCD" w:rsidRDefault="00A60FCD" w:rsidP="00FF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C7A9" w14:textId="77777777" w:rsidR="004953DF" w:rsidRDefault="00495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E9C9" w14:textId="1D49FC73" w:rsidR="00F43FEB" w:rsidRPr="0009767C" w:rsidRDefault="00383347" w:rsidP="00383347">
    <w:pPr>
      <w:pStyle w:val="Footer"/>
      <w:tabs>
        <w:tab w:val="left" w:pos="8460"/>
        <w:tab w:val="right" w:pos="14400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C10C2B">
      <w:rPr>
        <w:rFonts w:ascii="Arial" w:hAnsi="Arial" w:cs="Arial"/>
      </w:rPr>
      <w:t>Dec</w:t>
    </w:r>
    <w:r w:rsidR="00E6296B">
      <w:rPr>
        <w:rFonts w:ascii="Arial" w:hAnsi="Arial" w:cs="Arial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7CC6" w14:textId="77777777" w:rsidR="004953DF" w:rsidRDefault="00495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9CE90" w14:textId="77777777" w:rsidR="00A60FCD" w:rsidRDefault="00A60FCD" w:rsidP="00FF65E3">
      <w:pPr>
        <w:spacing w:after="0" w:line="240" w:lineRule="auto"/>
      </w:pPr>
      <w:r>
        <w:separator/>
      </w:r>
    </w:p>
  </w:footnote>
  <w:footnote w:type="continuationSeparator" w:id="0">
    <w:p w14:paraId="50876E73" w14:textId="77777777" w:rsidR="00A60FCD" w:rsidRDefault="00A60FCD" w:rsidP="00FF6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2E925" w14:textId="77777777" w:rsidR="004953DF" w:rsidRDefault="004953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AEB56" w14:textId="721065B3" w:rsidR="00FF65E3" w:rsidRDefault="0013392F" w:rsidP="004953DF">
    <w:pPr>
      <w:ind w:firstLine="720"/>
      <w:jc w:val="right"/>
    </w:pPr>
    <w:r w:rsidRPr="00B000D5">
      <w:rPr>
        <w:rFonts w:ascii="Arial" w:hAnsi="Arial" w:cs="Arial"/>
      </w:rPr>
      <w:t xml:space="preserve">Agenda item </w:t>
    </w:r>
    <w:r>
      <w:rPr>
        <w:rFonts w:ascii="Arial" w:hAnsi="Arial" w:cs="Arial"/>
      </w:rPr>
      <w:t>6</w:t>
    </w:r>
    <w:r w:rsidRPr="00B000D5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DF98" w14:textId="77777777" w:rsidR="004953DF" w:rsidRDefault="00495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01784"/>
    <w:multiLevelType w:val="hybridMultilevel"/>
    <w:tmpl w:val="CE089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42668"/>
    <w:multiLevelType w:val="hybridMultilevel"/>
    <w:tmpl w:val="26CE1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A6ADB"/>
    <w:multiLevelType w:val="hybridMultilevel"/>
    <w:tmpl w:val="1FAA1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1734D"/>
    <w:multiLevelType w:val="hybridMultilevel"/>
    <w:tmpl w:val="A3520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D2C47"/>
    <w:multiLevelType w:val="hybridMultilevel"/>
    <w:tmpl w:val="73308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63A6E"/>
    <w:multiLevelType w:val="hybridMultilevel"/>
    <w:tmpl w:val="F3B87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B10B7"/>
    <w:multiLevelType w:val="hybridMultilevel"/>
    <w:tmpl w:val="87CC2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14E74"/>
    <w:multiLevelType w:val="hybridMultilevel"/>
    <w:tmpl w:val="D66C6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A19BF"/>
    <w:multiLevelType w:val="hybridMultilevel"/>
    <w:tmpl w:val="4E0EF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952D0"/>
    <w:multiLevelType w:val="hybridMultilevel"/>
    <w:tmpl w:val="7E52A6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9A1CE2"/>
    <w:multiLevelType w:val="hybridMultilevel"/>
    <w:tmpl w:val="A1468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70FC1"/>
    <w:multiLevelType w:val="hybridMultilevel"/>
    <w:tmpl w:val="3E489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D188D"/>
    <w:multiLevelType w:val="hybridMultilevel"/>
    <w:tmpl w:val="3E489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0"/>
  </w:num>
  <w:num w:numId="9">
    <w:abstractNumId w:val="11"/>
  </w:num>
  <w:num w:numId="10">
    <w:abstractNumId w:val="12"/>
  </w:num>
  <w:num w:numId="11">
    <w:abstractNumId w:val="1"/>
  </w:num>
  <w:num w:numId="12">
    <w:abstractNumId w:val="7"/>
  </w:num>
  <w:num w:numId="13">
    <w:abstractNumId w:val="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E3"/>
    <w:rsid w:val="000041E4"/>
    <w:rsid w:val="00010F74"/>
    <w:rsid w:val="00012DAA"/>
    <w:rsid w:val="000217FF"/>
    <w:rsid w:val="00043428"/>
    <w:rsid w:val="00063DE3"/>
    <w:rsid w:val="00064EEC"/>
    <w:rsid w:val="00066ED1"/>
    <w:rsid w:val="00072CA0"/>
    <w:rsid w:val="0009767C"/>
    <w:rsid w:val="00097739"/>
    <w:rsid w:val="000A0584"/>
    <w:rsid w:val="000B0BC9"/>
    <w:rsid w:val="000B30BB"/>
    <w:rsid w:val="000B3D82"/>
    <w:rsid w:val="000B7625"/>
    <w:rsid w:val="000C5B27"/>
    <w:rsid w:val="000D138F"/>
    <w:rsid w:val="000D236B"/>
    <w:rsid w:val="000D74C9"/>
    <w:rsid w:val="000E5F13"/>
    <w:rsid w:val="000F10E7"/>
    <w:rsid w:val="000F7771"/>
    <w:rsid w:val="00106F64"/>
    <w:rsid w:val="0013392F"/>
    <w:rsid w:val="00140CDA"/>
    <w:rsid w:val="00143EF1"/>
    <w:rsid w:val="00147D8F"/>
    <w:rsid w:val="00150196"/>
    <w:rsid w:val="00154A64"/>
    <w:rsid w:val="001566EC"/>
    <w:rsid w:val="00174E45"/>
    <w:rsid w:val="00177166"/>
    <w:rsid w:val="00192E19"/>
    <w:rsid w:val="001A0A73"/>
    <w:rsid w:val="001A2892"/>
    <w:rsid w:val="001A6D9E"/>
    <w:rsid w:val="001B2E89"/>
    <w:rsid w:val="001B3B04"/>
    <w:rsid w:val="001D5629"/>
    <w:rsid w:val="001D6614"/>
    <w:rsid w:val="001E0FBB"/>
    <w:rsid w:val="001E179B"/>
    <w:rsid w:val="001F0CE7"/>
    <w:rsid w:val="001F26E6"/>
    <w:rsid w:val="00207BFF"/>
    <w:rsid w:val="00211F56"/>
    <w:rsid w:val="00214D69"/>
    <w:rsid w:val="00215973"/>
    <w:rsid w:val="00237333"/>
    <w:rsid w:val="00246037"/>
    <w:rsid w:val="00251B60"/>
    <w:rsid w:val="002530FE"/>
    <w:rsid w:val="00256401"/>
    <w:rsid w:val="00262E69"/>
    <w:rsid w:val="002649F8"/>
    <w:rsid w:val="0028751B"/>
    <w:rsid w:val="00295C50"/>
    <w:rsid w:val="00297D68"/>
    <w:rsid w:val="002A025A"/>
    <w:rsid w:val="002A6663"/>
    <w:rsid w:val="002B0D31"/>
    <w:rsid w:val="002C405E"/>
    <w:rsid w:val="002E1F6C"/>
    <w:rsid w:val="002E4A5C"/>
    <w:rsid w:val="002E625E"/>
    <w:rsid w:val="002F02BE"/>
    <w:rsid w:val="002F1E66"/>
    <w:rsid w:val="002F4366"/>
    <w:rsid w:val="003012E5"/>
    <w:rsid w:val="003019D1"/>
    <w:rsid w:val="003056E1"/>
    <w:rsid w:val="00313A6A"/>
    <w:rsid w:val="00314C47"/>
    <w:rsid w:val="00320117"/>
    <w:rsid w:val="00320C0B"/>
    <w:rsid w:val="0032415C"/>
    <w:rsid w:val="00332973"/>
    <w:rsid w:val="00332C87"/>
    <w:rsid w:val="0033341F"/>
    <w:rsid w:val="003571CF"/>
    <w:rsid w:val="003613AB"/>
    <w:rsid w:val="0036407C"/>
    <w:rsid w:val="00365ADE"/>
    <w:rsid w:val="003832CB"/>
    <w:rsid w:val="00383347"/>
    <w:rsid w:val="003919AE"/>
    <w:rsid w:val="003939CA"/>
    <w:rsid w:val="0039499B"/>
    <w:rsid w:val="003B63FE"/>
    <w:rsid w:val="003B724A"/>
    <w:rsid w:val="003C0216"/>
    <w:rsid w:val="003C3302"/>
    <w:rsid w:val="003D46B7"/>
    <w:rsid w:val="003E2E5B"/>
    <w:rsid w:val="003E44BE"/>
    <w:rsid w:val="003E64DD"/>
    <w:rsid w:val="003F42B5"/>
    <w:rsid w:val="0040625A"/>
    <w:rsid w:val="00410F94"/>
    <w:rsid w:val="004116E5"/>
    <w:rsid w:val="00411EC7"/>
    <w:rsid w:val="004137A5"/>
    <w:rsid w:val="00420E7C"/>
    <w:rsid w:val="004305F2"/>
    <w:rsid w:val="004365BE"/>
    <w:rsid w:val="00450624"/>
    <w:rsid w:val="0045143C"/>
    <w:rsid w:val="00452DE3"/>
    <w:rsid w:val="004538FE"/>
    <w:rsid w:val="0047042D"/>
    <w:rsid w:val="00474B3E"/>
    <w:rsid w:val="004753C8"/>
    <w:rsid w:val="00484871"/>
    <w:rsid w:val="004953DF"/>
    <w:rsid w:val="00497CC2"/>
    <w:rsid w:val="004A4C10"/>
    <w:rsid w:val="004D0EFA"/>
    <w:rsid w:val="004E2616"/>
    <w:rsid w:val="004E38DC"/>
    <w:rsid w:val="004E3FA5"/>
    <w:rsid w:val="004E62E9"/>
    <w:rsid w:val="004F343C"/>
    <w:rsid w:val="00506F4E"/>
    <w:rsid w:val="00512434"/>
    <w:rsid w:val="00512B12"/>
    <w:rsid w:val="005270E0"/>
    <w:rsid w:val="00533CC0"/>
    <w:rsid w:val="00544799"/>
    <w:rsid w:val="00547966"/>
    <w:rsid w:val="00553699"/>
    <w:rsid w:val="0055769C"/>
    <w:rsid w:val="00573424"/>
    <w:rsid w:val="00580C0A"/>
    <w:rsid w:val="00583744"/>
    <w:rsid w:val="00583B19"/>
    <w:rsid w:val="00585D72"/>
    <w:rsid w:val="00587136"/>
    <w:rsid w:val="00587BF5"/>
    <w:rsid w:val="005A27B8"/>
    <w:rsid w:val="005B642E"/>
    <w:rsid w:val="005B7251"/>
    <w:rsid w:val="005C73A8"/>
    <w:rsid w:val="005D7235"/>
    <w:rsid w:val="005E2336"/>
    <w:rsid w:val="005E43C8"/>
    <w:rsid w:val="005F3FCE"/>
    <w:rsid w:val="005F5381"/>
    <w:rsid w:val="005F6609"/>
    <w:rsid w:val="00600155"/>
    <w:rsid w:val="006019DD"/>
    <w:rsid w:val="0060340F"/>
    <w:rsid w:val="006159B0"/>
    <w:rsid w:val="0061630E"/>
    <w:rsid w:val="0061772F"/>
    <w:rsid w:val="006209CC"/>
    <w:rsid w:val="006337A3"/>
    <w:rsid w:val="0063533B"/>
    <w:rsid w:val="00635AD4"/>
    <w:rsid w:val="00647994"/>
    <w:rsid w:val="00652C65"/>
    <w:rsid w:val="0066224E"/>
    <w:rsid w:val="00673023"/>
    <w:rsid w:val="00673EA2"/>
    <w:rsid w:val="0069143A"/>
    <w:rsid w:val="00695D26"/>
    <w:rsid w:val="006973D5"/>
    <w:rsid w:val="006A64E6"/>
    <w:rsid w:val="006B0C5C"/>
    <w:rsid w:val="006C09E5"/>
    <w:rsid w:val="006D5BB6"/>
    <w:rsid w:val="006E339F"/>
    <w:rsid w:val="006F7CA3"/>
    <w:rsid w:val="00702896"/>
    <w:rsid w:val="00714FC5"/>
    <w:rsid w:val="00722A47"/>
    <w:rsid w:val="0072404B"/>
    <w:rsid w:val="00731B63"/>
    <w:rsid w:val="00732631"/>
    <w:rsid w:val="007368F0"/>
    <w:rsid w:val="0074564B"/>
    <w:rsid w:val="007458DC"/>
    <w:rsid w:val="00755954"/>
    <w:rsid w:val="00765AF9"/>
    <w:rsid w:val="00765BFF"/>
    <w:rsid w:val="00771747"/>
    <w:rsid w:val="00771F96"/>
    <w:rsid w:val="00772082"/>
    <w:rsid w:val="00772292"/>
    <w:rsid w:val="00775CB1"/>
    <w:rsid w:val="007807C5"/>
    <w:rsid w:val="0078141F"/>
    <w:rsid w:val="0078155E"/>
    <w:rsid w:val="00781D64"/>
    <w:rsid w:val="007857F2"/>
    <w:rsid w:val="00794C03"/>
    <w:rsid w:val="00796F54"/>
    <w:rsid w:val="007B7C80"/>
    <w:rsid w:val="007B7FC2"/>
    <w:rsid w:val="007C3792"/>
    <w:rsid w:val="007D29C7"/>
    <w:rsid w:val="007D30EA"/>
    <w:rsid w:val="007F5B0F"/>
    <w:rsid w:val="008067AF"/>
    <w:rsid w:val="008154B0"/>
    <w:rsid w:val="00817D30"/>
    <w:rsid w:val="00822603"/>
    <w:rsid w:val="00822794"/>
    <w:rsid w:val="00823CB5"/>
    <w:rsid w:val="00825665"/>
    <w:rsid w:val="008375CE"/>
    <w:rsid w:val="00841CE2"/>
    <w:rsid w:val="008568E7"/>
    <w:rsid w:val="008609D2"/>
    <w:rsid w:val="0086332E"/>
    <w:rsid w:val="00864324"/>
    <w:rsid w:val="008762F4"/>
    <w:rsid w:val="00884FD1"/>
    <w:rsid w:val="008876E4"/>
    <w:rsid w:val="00890F91"/>
    <w:rsid w:val="008A565F"/>
    <w:rsid w:val="008B6AB6"/>
    <w:rsid w:val="008D2FE7"/>
    <w:rsid w:val="008D4140"/>
    <w:rsid w:val="008D6776"/>
    <w:rsid w:val="008E6FD7"/>
    <w:rsid w:val="00907126"/>
    <w:rsid w:val="0091178A"/>
    <w:rsid w:val="009118F9"/>
    <w:rsid w:val="00940746"/>
    <w:rsid w:val="009435B9"/>
    <w:rsid w:val="00944A6B"/>
    <w:rsid w:val="009454D0"/>
    <w:rsid w:val="00952FB0"/>
    <w:rsid w:val="009538E6"/>
    <w:rsid w:val="00981F93"/>
    <w:rsid w:val="00984489"/>
    <w:rsid w:val="00990A3B"/>
    <w:rsid w:val="009A0CCD"/>
    <w:rsid w:val="009A46FC"/>
    <w:rsid w:val="009B75C7"/>
    <w:rsid w:val="009C0A9D"/>
    <w:rsid w:val="009C62AA"/>
    <w:rsid w:val="009C7A68"/>
    <w:rsid w:val="009D48FC"/>
    <w:rsid w:val="009D50CC"/>
    <w:rsid w:val="009E156C"/>
    <w:rsid w:val="009E6AA9"/>
    <w:rsid w:val="00A00BC8"/>
    <w:rsid w:val="00A05B6D"/>
    <w:rsid w:val="00A1129C"/>
    <w:rsid w:val="00A11BE7"/>
    <w:rsid w:val="00A203DE"/>
    <w:rsid w:val="00A22160"/>
    <w:rsid w:val="00A26E4D"/>
    <w:rsid w:val="00A27AC9"/>
    <w:rsid w:val="00A355B7"/>
    <w:rsid w:val="00A40CC9"/>
    <w:rsid w:val="00A47987"/>
    <w:rsid w:val="00A531CF"/>
    <w:rsid w:val="00A60FCD"/>
    <w:rsid w:val="00A714E6"/>
    <w:rsid w:val="00A775EA"/>
    <w:rsid w:val="00A77959"/>
    <w:rsid w:val="00A9423D"/>
    <w:rsid w:val="00AA378D"/>
    <w:rsid w:val="00AA4122"/>
    <w:rsid w:val="00AB6F5D"/>
    <w:rsid w:val="00AC02A7"/>
    <w:rsid w:val="00AC3BCA"/>
    <w:rsid w:val="00AE27DB"/>
    <w:rsid w:val="00AE6637"/>
    <w:rsid w:val="00AF30CC"/>
    <w:rsid w:val="00AF5B4A"/>
    <w:rsid w:val="00B000D5"/>
    <w:rsid w:val="00B03FB8"/>
    <w:rsid w:val="00B16E26"/>
    <w:rsid w:val="00B229EF"/>
    <w:rsid w:val="00B25F70"/>
    <w:rsid w:val="00B35580"/>
    <w:rsid w:val="00B40A68"/>
    <w:rsid w:val="00B520AE"/>
    <w:rsid w:val="00B53DC5"/>
    <w:rsid w:val="00B53F89"/>
    <w:rsid w:val="00B60847"/>
    <w:rsid w:val="00B75AD8"/>
    <w:rsid w:val="00B7671A"/>
    <w:rsid w:val="00B81FCF"/>
    <w:rsid w:val="00B85EAB"/>
    <w:rsid w:val="00B87CF0"/>
    <w:rsid w:val="00B91995"/>
    <w:rsid w:val="00B95C98"/>
    <w:rsid w:val="00BA1759"/>
    <w:rsid w:val="00BA4B72"/>
    <w:rsid w:val="00BA5A51"/>
    <w:rsid w:val="00BB1100"/>
    <w:rsid w:val="00BB1CCA"/>
    <w:rsid w:val="00BC14DF"/>
    <w:rsid w:val="00BC6275"/>
    <w:rsid w:val="00BC6B3C"/>
    <w:rsid w:val="00BC77B7"/>
    <w:rsid w:val="00BD10B1"/>
    <w:rsid w:val="00BE615B"/>
    <w:rsid w:val="00BF486F"/>
    <w:rsid w:val="00BF5A52"/>
    <w:rsid w:val="00BF69C8"/>
    <w:rsid w:val="00C00902"/>
    <w:rsid w:val="00C00FDB"/>
    <w:rsid w:val="00C02F12"/>
    <w:rsid w:val="00C06423"/>
    <w:rsid w:val="00C10C2B"/>
    <w:rsid w:val="00C20E52"/>
    <w:rsid w:val="00C2447F"/>
    <w:rsid w:val="00C35408"/>
    <w:rsid w:val="00C40CD0"/>
    <w:rsid w:val="00C428AE"/>
    <w:rsid w:val="00C66ABB"/>
    <w:rsid w:val="00C67E82"/>
    <w:rsid w:val="00C704EE"/>
    <w:rsid w:val="00C71057"/>
    <w:rsid w:val="00C755AC"/>
    <w:rsid w:val="00C9745A"/>
    <w:rsid w:val="00CA21C4"/>
    <w:rsid w:val="00CB197A"/>
    <w:rsid w:val="00CB1B75"/>
    <w:rsid w:val="00CB495A"/>
    <w:rsid w:val="00CD0525"/>
    <w:rsid w:val="00CE216A"/>
    <w:rsid w:val="00CF68B1"/>
    <w:rsid w:val="00CF7234"/>
    <w:rsid w:val="00D01D1C"/>
    <w:rsid w:val="00D164F0"/>
    <w:rsid w:val="00D175F1"/>
    <w:rsid w:val="00D17765"/>
    <w:rsid w:val="00D21E10"/>
    <w:rsid w:val="00D37185"/>
    <w:rsid w:val="00D37270"/>
    <w:rsid w:val="00D46045"/>
    <w:rsid w:val="00D47A79"/>
    <w:rsid w:val="00D5023E"/>
    <w:rsid w:val="00D522C7"/>
    <w:rsid w:val="00D56C87"/>
    <w:rsid w:val="00D65367"/>
    <w:rsid w:val="00D71479"/>
    <w:rsid w:val="00D72898"/>
    <w:rsid w:val="00D7451D"/>
    <w:rsid w:val="00D7530B"/>
    <w:rsid w:val="00D845CE"/>
    <w:rsid w:val="00D84D34"/>
    <w:rsid w:val="00D9176C"/>
    <w:rsid w:val="00DA0833"/>
    <w:rsid w:val="00DA14F2"/>
    <w:rsid w:val="00DA21BC"/>
    <w:rsid w:val="00DB07F9"/>
    <w:rsid w:val="00DB4D7C"/>
    <w:rsid w:val="00DC209A"/>
    <w:rsid w:val="00DC31E1"/>
    <w:rsid w:val="00DE35EB"/>
    <w:rsid w:val="00DE535F"/>
    <w:rsid w:val="00DF0949"/>
    <w:rsid w:val="00DF289E"/>
    <w:rsid w:val="00DF576F"/>
    <w:rsid w:val="00DF6014"/>
    <w:rsid w:val="00E11F0E"/>
    <w:rsid w:val="00E159E7"/>
    <w:rsid w:val="00E31608"/>
    <w:rsid w:val="00E40A5C"/>
    <w:rsid w:val="00E42CE2"/>
    <w:rsid w:val="00E47654"/>
    <w:rsid w:val="00E52DCA"/>
    <w:rsid w:val="00E548F7"/>
    <w:rsid w:val="00E57BA1"/>
    <w:rsid w:val="00E6296B"/>
    <w:rsid w:val="00E63B50"/>
    <w:rsid w:val="00E6567F"/>
    <w:rsid w:val="00E73CDE"/>
    <w:rsid w:val="00E74EFA"/>
    <w:rsid w:val="00E81CBA"/>
    <w:rsid w:val="00E869AF"/>
    <w:rsid w:val="00E911FC"/>
    <w:rsid w:val="00E91EC5"/>
    <w:rsid w:val="00E964CA"/>
    <w:rsid w:val="00E97135"/>
    <w:rsid w:val="00E9775F"/>
    <w:rsid w:val="00EC5454"/>
    <w:rsid w:val="00ED2590"/>
    <w:rsid w:val="00ED3399"/>
    <w:rsid w:val="00ED3FF2"/>
    <w:rsid w:val="00EE070B"/>
    <w:rsid w:val="00EE6083"/>
    <w:rsid w:val="00EF5609"/>
    <w:rsid w:val="00F02FEC"/>
    <w:rsid w:val="00F075A5"/>
    <w:rsid w:val="00F12EAF"/>
    <w:rsid w:val="00F151CB"/>
    <w:rsid w:val="00F20750"/>
    <w:rsid w:val="00F23BA0"/>
    <w:rsid w:val="00F33AA9"/>
    <w:rsid w:val="00F43FEB"/>
    <w:rsid w:val="00F555BD"/>
    <w:rsid w:val="00F62A26"/>
    <w:rsid w:val="00F63722"/>
    <w:rsid w:val="00F65C83"/>
    <w:rsid w:val="00F65CE6"/>
    <w:rsid w:val="00F72367"/>
    <w:rsid w:val="00F816BE"/>
    <w:rsid w:val="00F87D60"/>
    <w:rsid w:val="00F91919"/>
    <w:rsid w:val="00F95DF9"/>
    <w:rsid w:val="00FA2019"/>
    <w:rsid w:val="00FA4481"/>
    <w:rsid w:val="00FB70D0"/>
    <w:rsid w:val="00FC12A6"/>
    <w:rsid w:val="00FD53C2"/>
    <w:rsid w:val="00FD5933"/>
    <w:rsid w:val="00FD5E7D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F1ED2"/>
  <w15:chartTrackingRefBased/>
  <w15:docId w15:val="{871B9692-524A-4E4E-A796-52DFEF78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5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5E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65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5E3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BC1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A0"/>
    <w:pPr>
      <w:spacing w:after="0" w:line="240" w:lineRule="auto"/>
      <w:ind w:left="720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EC5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D3A20CB54574192834CA2AD2EF0EF" ma:contentTypeVersion="9" ma:contentTypeDescription="Create a new document." ma:contentTypeScope="" ma:versionID="c2e26aeec47569c3b61882f9a8f81514">
  <xsd:schema xmlns:xsd="http://www.w3.org/2001/XMLSchema" xmlns:xs="http://www.w3.org/2001/XMLSchema" xmlns:p="http://schemas.microsoft.com/office/2006/metadata/properties" xmlns:ns3="4cf64d44-ed6d-4582-b9a5-e0a92e6d0e4a" targetNamespace="http://schemas.microsoft.com/office/2006/metadata/properties" ma:root="true" ma:fieldsID="f774898265acb91a26d7647b7db43be4" ns3:_="">
    <xsd:import namespace="4cf64d44-ed6d-4582-b9a5-e0a92e6d0e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64d44-ed6d-4582-b9a5-e0a92e6d0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D5B575-A315-4F38-87EA-24288B07F5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BABF7D-66B7-4489-A761-AC76294739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9B5B8-1B00-4F41-AF54-4597FD18F4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DDAC32-4268-442F-A9D9-29FBEB673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f64d44-ed6d-4582-b9a5-e0a92e6d0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Anne (EnterpriseStokeStaffs)</dc:creator>
  <cp:keywords/>
  <dc:description/>
  <cp:lastModifiedBy>Kemp, Joanne (EnterpriseStokeStaffs)</cp:lastModifiedBy>
  <cp:revision>2</cp:revision>
  <dcterms:created xsi:type="dcterms:W3CDTF">2021-12-09T14:14:00Z</dcterms:created>
  <dcterms:modified xsi:type="dcterms:W3CDTF">2021-12-09T14:14:00Z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0x010100C5AD3A20CB54574192834CA2AD2EF0EF</vt:lpwstr>
  </property>
</Properties>
</file>