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B02" w:rsidRPr="009F25A2" w:rsidRDefault="00257642" w:rsidP="009F25A2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Executive Board 19</w:t>
      </w:r>
      <w:r w:rsidRPr="00257642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September 2019</w:t>
      </w:r>
    </w:p>
    <w:p w:rsidR="009F25A2" w:rsidRPr="009F25A2" w:rsidRDefault="009F25A2" w:rsidP="009F25A2">
      <w:pPr>
        <w:spacing w:after="0" w:line="240" w:lineRule="auto"/>
        <w:rPr>
          <w:rFonts w:cstheme="minorHAnsi"/>
          <w:b/>
        </w:rPr>
      </w:pPr>
      <w:r w:rsidRPr="009F25A2">
        <w:rPr>
          <w:rFonts w:cstheme="minorHAnsi"/>
          <w:b/>
        </w:rPr>
        <w:t>Pipeline Summary</w:t>
      </w:r>
    </w:p>
    <w:p w:rsidR="009F25A2" w:rsidRDefault="009F25A2" w:rsidP="009F25A2">
      <w:pPr>
        <w:spacing w:after="0" w:line="240" w:lineRule="auto"/>
        <w:rPr>
          <w:rFonts w:cstheme="minorHAnsi"/>
        </w:rPr>
      </w:pPr>
    </w:p>
    <w:p w:rsidR="006268D3" w:rsidRPr="00B76EF9" w:rsidRDefault="00BB00CF" w:rsidP="00B76EF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</w:rPr>
      </w:pPr>
      <w:r w:rsidRPr="00B76EF9">
        <w:rPr>
          <w:rFonts w:cstheme="minorHAnsi"/>
        </w:rPr>
        <w:t xml:space="preserve">Current </w:t>
      </w:r>
      <w:r w:rsidR="009F25A2" w:rsidRPr="00B76EF9">
        <w:rPr>
          <w:rFonts w:cstheme="minorHAnsi"/>
        </w:rPr>
        <w:t xml:space="preserve">Pipeline </w:t>
      </w:r>
      <w:r w:rsidR="006268D3" w:rsidRPr="00B76EF9">
        <w:rPr>
          <w:rFonts w:cstheme="minorHAnsi"/>
        </w:rPr>
        <w:t xml:space="preserve">(see appendix spreadsheet) </w:t>
      </w:r>
      <w:r w:rsidRPr="00B76EF9">
        <w:rPr>
          <w:rFonts w:cstheme="minorHAnsi"/>
        </w:rPr>
        <w:t xml:space="preserve">comprises of </w:t>
      </w:r>
      <w:r w:rsidRPr="00B76EF9">
        <w:rPr>
          <w:rFonts w:cstheme="minorHAnsi"/>
          <w:b/>
        </w:rPr>
        <w:t>23 projects</w:t>
      </w:r>
      <w:r w:rsidRPr="00B76EF9">
        <w:rPr>
          <w:rFonts w:cstheme="minorHAnsi"/>
        </w:rPr>
        <w:t xml:space="preserve"> which are in various states of ‘readiness,’ </w:t>
      </w:r>
      <w:r w:rsidRPr="00B76EF9">
        <w:rPr>
          <w:rFonts w:cstheme="minorHAnsi"/>
          <w:b/>
        </w:rPr>
        <w:t>scored A to C</w:t>
      </w:r>
      <w:r w:rsidRPr="00B76EF9">
        <w:rPr>
          <w:rFonts w:cstheme="minorHAnsi"/>
        </w:rPr>
        <w:t xml:space="preserve">. If all could be developed into "A" rated schemes, they would make a </w:t>
      </w:r>
      <w:r w:rsidRPr="00B76EF9">
        <w:rPr>
          <w:rFonts w:cstheme="minorHAnsi"/>
          <w:b/>
        </w:rPr>
        <w:t xml:space="preserve">combined LGF </w:t>
      </w:r>
      <w:r w:rsidR="009F25A2" w:rsidRPr="00B76EF9">
        <w:rPr>
          <w:rFonts w:cstheme="minorHAnsi"/>
          <w:b/>
        </w:rPr>
        <w:t>grant request</w:t>
      </w:r>
      <w:r w:rsidRPr="00B76EF9">
        <w:rPr>
          <w:rFonts w:cstheme="minorHAnsi"/>
          <w:b/>
        </w:rPr>
        <w:t xml:space="preserve"> of </w:t>
      </w:r>
      <w:r w:rsidR="009F25A2" w:rsidRPr="00B76EF9">
        <w:rPr>
          <w:rFonts w:cstheme="minorHAnsi"/>
          <w:b/>
        </w:rPr>
        <w:t>£</w:t>
      </w:r>
      <w:r w:rsidR="00C31E59">
        <w:rPr>
          <w:rFonts w:cstheme="minorHAnsi"/>
          <w:b/>
        </w:rPr>
        <w:t>60,821,881</w:t>
      </w:r>
      <w:r w:rsidRPr="00B76EF9">
        <w:rPr>
          <w:rFonts w:cstheme="minorHAnsi"/>
        </w:rPr>
        <w:t xml:space="preserve">, </w:t>
      </w:r>
      <w:r w:rsidR="009F25A2" w:rsidRPr="00B76EF9">
        <w:rPr>
          <w:rFonts w:cstheme="minorHAnsi"/>
        </w:rPr>
        <w:t>enabl</w:t>
      </w:r>
      <w:r w:rsidRPr="00B76EF9">
        <w:rPr>
          <w:rFonts w:cstheme="minorHAnsi"/>
        </w:rPr>
        <w:t>ing d</w:t>
      </w:r>
      <w:r w:rsidR="009F25A2" w:rsidRPr="00B76EF9">
        <w:rPr>
          <w:rFonts w:cstheme="minorHAnsi"/>
        </w:rPr>
        <w:t xml:space="preserve">elivery of schemes to the </w:t>
      </w:r>
      <w:r w:rsidR="009F25A2" w:rsidRPr="00B76EF9">
        <w:rPr>
          <w:rFonts w:cstheme="minorHAnsi"/>
          <w:b/>
        </w:rPr>
        <w:t>total value of £</w:t>
      </w:r>
      <w:r w:rsidR="00C31E59">
        <w:rPr>
          <w:rFonts w:cstheme="minorHAnsi"/>
          <w:b/>
        </w:rPr>
        <w:t>356,005,459</w:t>
      </w:r>
      <w:r w:rsidRPr="00B76EF9">
        <w:rPr>
          <w:rFonts w:cstheme="minorHAnsi"/>
        </w:rPr>
        <w:t xml:space="preserve"> (a </w:t>
      </w:r>
      <w:r w:rsidR="009F25A2" w:rsidRPr="00B76EF9">
        <w:rPr>
          <w:rFonts w:cstheme="minorHAnsi"/>
        </w:rPr>
        <w:t xml:space="preserve">grant to development cost ratio of </w:t>
      </w:r>
      <w:proofErr w:type="spellStart"/>
      <w:r w:rsidR="009F25A2" w:rsidRPr="00B76EF9">
        <w:rPr>
          <w:rFonts w:cstheme="minorHAnsi"/>
        </w:rPr>
        <w:t>approx</w:t>
      </w:r>
      <w:proofErr w:type="spellEnd"/>
      <w:r w:rsidR="009F25A2" w:rsidRPr="00B76EF9">
        <w:rPr>
          <w:rFonts w:cstheme="minorHAnsi"/>
        </w:rPr>
        <w:t xml:space="preserve"> 1:5</w:t>
      </w:r>
      <w:r w:rsidRPr="00B76EF9">
        <w:rPr>
          <w:rFonts w:cstheme="minorHAnsi"/>
        </w:rPr>
        <w:t xml:space="preserve">) and delivering outputs of </w:t>
      </w:r>
      <w:r w:rsidR="009F25A2" w:rsidRPr="00B76EF9">
        <w:rPr>
          <w:rFonts w:eastAsia="Times New Roman" w:cstheme="minorHAnsi"/>
          <w:b/>
        </w:rPr>
        <w:t>6,149 Jobs</w:t>
      </w:r>
      <w:r w:rsidRPr="00B76EF9">
        <w:rPr>
          <w:rFonts w:eastAsia="Times New Roman" w:cstheme="minorHAnsi"/>
        </w:rPr>
        <w:t xml:space="preserve"> and </w:t>
      </w:r>
      <w:r w:rsidRPr="00B76EF9">
        <w:rPr>
          <w:rFonts w:eastAsia="Times New Roman" w:cstheme="minorHAnsi"/>
          <w:b/>
        </w:rPr>
        <w:t>1</w:t>
      </w:r>
      <w:r w:rsidR="009F25A2" w:rsidRPr="00B76EF9">
        <w:rPr>
          <w:rFonts w:eastAsia="Times New Roman" w:cstheme="minorHAnsi"/>
          <w:b/>
        </w:rPr>
        <w:t xml:space="preserve">,988 </w:t>
      </w:r>
      <w:r w:rsidRPr="00B76EF9">
        <w:rPr>
          <w:rFonts w:eastAsia="Times New Roman" w:cstheme="minorHAnsi"/>
          <w:b/>
        </w:rPr>
        <w:t>homes.</w:t>
      </w:r>
      <w:r w:rsidR="006268D3" w:rsidRPr="00B76EF9">
        <w:rPr>
          <w:rFonts w:eastAsia="Times New Roman" w:cstheme="minorHAnsi"/>
          <w:b/>
        </w:rPr>
        <w:t xml:space="preserve"> </w:t>
      </w:r>
    </w:p>
    <w:p w:rsidR="006268D3" w:rsidRDefault="006268D3" w:rsidP="009F25A2">
      <w:pPr>
        <w:spacing w:after="0" w:line="240" w:lineRule="auto"/>
        <w:rPr>
          <w:rFonts w:eastAsia="Times New Roman" w:cstheme="minorHAnsi"/>
          <w:b/>
        </w:rPr>
      </w:pPr>
    </w:p>
    <w:p w:rsidR="009F25A2" w:rsidRPr="00B76EF9" w:rsidRDefault="006268D3" w:rsidP="00B76E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76EF9">
        <w:rPr>
          <w:rFonts w:cstheme="minorHAnsi"/>
        </w:rPr>
        <w:t>The outgoing ITE advised that not all r</w:t>
      </w:r>
      <w:r w:rsidR="009F25A2" w:rsidRPr="00B76EF9">
        <w:rPr>
          <w:rFonts w:cstheme="minorHAnsi"/>
        </w:rPr>
        <w:t>emain</w:t>
      </w:r>
      <w:r w:rsidRPr="00B76EF9">
        <w:rPr>
          <w:rFonts w:cstheme="minorHAnsi"/>
        </w:rPr>
        <w:t xml:space="preserve">ing pipeline projects are capable of being developed to an A rating </w:t>
      </w:r>
      <w:r w:rsidR="00D63BDF" w:rsidRPr="00B76EF9">
        <w:rPr>
          <w:rFonts w:cstheme="minorHAnsi"/>
        </w:rPr>
        <w:t xml:space="preserve">within a short period of time </w:t>
      </w:r>
      <w:r w:rsidRPr="00B76EF9">
        <w:rPr>
          <w:rFonts w:cstheme="minorHAnsi"/>
        </w:rPr>
        <w:t xml:space="preserve">and recommended that, in the event of further funding becoming available, </w:t>
      </w:r>
      <w:r w:rsidR="00D63BDF" w:rsidRPr="00B76EF9">
        <w:rPr>
          <w:rFonts w:cstheme="minorHAnsi"/>
        </w:rPr>
        <w:t>the following s</w:t>
      </w:r>
      <w:r w:rsidRPr="00B76EF9">
        <w:rPr>
          <w:rFonts w:cstheme="minorHAnsi"/>
        </w:rPr>
        <w:t xml:space="preserve">ubset of schemes </w:t>
      </w:r>
      <w:r w:rsidR="00D63BDF" w:rsidRPr="00B76EF9">
        <w:rPr>
          <w:rFonts w:cstheme="minorHAnsi"/>
          <w:b/>
        </w:rPr>
        <w:t xml:space="preserve">were in the best position to be progressed to a state of readiness </w:t>
      </w:r>
      <w:r w:rsidR="00F51A13" w:rsidRPr="00B76EF9">
        <w:rPr>
          <w:rFonts w:cstheme="minorHAnsi"/>
          <w:b/>
        </w:rPr>
        <w:t xml:space="preserve">and </w:t>
      </w:r>
      <w:r w:rsidR="00D63BDF" w:rsidRPr="00B76EF9">
        <w:rPr>
          <w:rFonts w:cstheme="minorHAnsi"/>
          <w:b/>
        </w:rPr>
        <w:t xml:space="preserve">to </w:t>
      </w:r>
      <w:r w:rsidR="00F51A13" w:rsidRPr="00B76EF9">
        <w:rPr>
          <w:rFonts w:cstheme="minorHAnsi"/>
          <w:b/>
        </w:rPr>
        <w:t xml:space="preserve">deliver by the </w:t>
      </w:r>
      <w:r w:rsidR="00F51A13" w:rsidRPr="00B76EF9">
        <w:rPr>
          <w:rFonts w:cstheme="minorHAnsi"/>
        </w:rPr>
        <w:t xml:space="preserve">deadline of </w:t>
      </w:r>
      <w:r w:rsidR="00D63BDF" w:rsidRPr="00B76EF9">
        <w:rPr>
          <w:rFonts w:cstheme="minorHAnsi"/>
        </w:rPr>
        <w:t>March 2021:</w:t>
      </w:r>
    </w:p>
    <w:p w:rsidR="006268D3" w:rsidRPr="006268D3" w:rsidRDefault="006268D3" w:rsidP="009F25A2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36"/>
        <w:gridCol w:w="2233"/>
        <w:gridCol w:w="1229"/>
        <w:gridCol w:w="676"/>
        <w:gridCol w:w="2977"/>
      </w:tblGrid>
      <w:tr w:rsidR="007127B6" w:rsidRPr="00F51A13" w:rsidTr="003227ED">
        <w:tc>
          <w:tcPr>
            <w:tcW w:w="2236" w:type="dxa"/>
          </w:tcPr>
          <w:p w:rsidR="007127B6" w:rsidRPr="00F51A13" w:rsidRDefault="007127B6" w:rsidP="009F25A2">
            <w:pPr>
              <w:rPr>
                <w:rFonts w:cstheme="minorHAnsi"/>
                <w:b/>
                <w:sz w:val="20"/>
                <w:szCs w:val="20"/>
              </w:rPr>
            </w:pPr>
            <w:r w:rsidRPr="00F51A13">
              <w:rPr>
                <w:rFonts w:cstheme="minorHAnsi"/>
                <w:b/>
                <w:sz w:val="20"/>
                <w:szCs w:val="20"/>
              </w:rPr>
              <w:t>Scheme Name</w:t>
            </w:r>
          </w:p>
        </w:tc>
        <w:tc>
          <w:tcPr>
            <w:tcW w:w="2233" w:type="dxa"/>
          </w:tcPr>
          <w:p w:rsidR="007127B6" w:rsidRPr="00F51A13" w:rsidRDefault="007127B6" w:rsidP="009F25A2">
            <w:pPr>
              <w:rPr>
                <w:rFonts w:cstheme="minorHAnsi"/>
                <w:b/>
                <w:sz w:val="20"/>
                <w:szCs w:val="20"/>
              </w:rPr>
            </w:pPr>
            <w:r w:rsidRPr="00F51A13">
              <w:rPr>
                <w:rFonts w:cstheme="minorHAnsi"/>
                <w:b/>
                <w:sz w:val="20"/>
                <w:szCs w:val="20"/>
              </w:rPr>
              <w:t>Outputs</w:t>
            </w:r>
          </w:p>
        </w:tc>
        <w:tc>
          <w:tcPr>
            <w:tcW w:w="1229" w:type="dxa"/>
          </w:tcPr>
          <w:p w:rsidR="007127B6" w:rsidRPr="00F51A13" w:rsidRDefault="007127B6" w:rsidP="009F25A2">
            <w:pPr>
              <w:rPr>
                <w:rFonts w:cstheme="minorHAnsi"/>
                <w:b/>
                <w:sz w:val="20"/>
                <w:szCs w:val="20"/>
              </w:rPr>
            </w:pPr>
            <w:r w:rsidRPr="00F51A13">
              <w:rPr>
                <w:rFonts w:cstheme="minorHAnsi"/>
                <w:b/>
                <w:sz w:val="20"/>
                <w:szCs w:val="20"/>
              </w:rPr>
              <w:t>LGF Ask</w:t>
            </w:r>
          </w:p>
        </w:tc>
        <w:tc>
          <w:tcPr>
            <w:tcW w:w="676" w:type="dxa"/>
          </w:tcPr>
          <w:p w:rsidR="007127B6" w:rsidRPr="00F51A13" w:rsidRDefault="007127B6" w:rsidP="009F25A2">
            <w:pPr>
              <w:rPr>
                <w:rFonts w:cstheme="minorHAnsi"/>
                <w:b/>
                <w:sz w:val="20"/>
                <w:szCs w:val="20"/>
              </w:rPr>
            </w:pPr>
            <w:r w:rsidRPr="00F51A13">
              <w:rPr>
                <w:rFonts w:cstheme="minorHAnsi"/>
                <w:b/>
                <w:sz w:val="20"/>
                <w:szCs w:val="20"/>
              </w:rPr>
              <w:t>Score</w:t>
            </w:r>
          </w:p>
        </w:tc>
        <w:tc>
          <w:tcPr>
            <w:tcW w:w="2977" w:type="dxa"/>
          </w:tcPr>
          <w:p w:rsidR="007127B6" w:rsidRPr="00F51A13" w:rsidRDefault="0017019C" w:rsidP="009F25A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Summary </w:t>
            </w:r>
            <w:r w:rsidR="007127B6" w:rsidRPr="00F51A13">
              <w:rPr>
                <w:rFonts w:cstheme="minorHAnsi"/>
                <w:b/>
                <w:sz w:val="20"/>
                <w:szCs w:val="20"/>
              </w:rPr>
              <w:t>Notes:</w:t>
            </w:r>
          </w:p>
        </w:tc>
      </w:tr>
      <w:tr w:rsidR="007127B6" w:rsidRPr="006268D3" w:rsidTr="003227ED">
        <w:tc>
          <w:tcPr>
            <w:tcW w:w="2236" w:type="dxa"/>
          </w:tcPr>
          <w:p w:rsidR="007127B6" w:rsidRDefault="007127B6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Longton Centre of Ceramic Excellence, Sutherland Works,</w:t>
            </w:r>
          </w:p>
          <w:p w:rsidR="007127B6" w:rsidRPr="006268D3" w:rsidRDefault="007127B6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 Group</w:t>
            </w:r>
          </w:p>
        </w:tc>
        <w:tc>
          <w:tcPr>
            <w:tcW w:w="2233" w:type="dxa"/>
          </w:tcPr>
          <w:p w:rsidR="007127B6" w:rsidRDefault="007127B6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 jobs</w:t>
            </w:r>
          </w:p>
          <w:p w:rsidR="007127B6" w:rsidRDefault="007127B6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 homes</w:t>
            </w:r>
          </w:p>
          <w:p w:rsidR="007127B6" w:rsidRDefault="007127B6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 business enterprises</w:t>
            </w:r>
          </w:p>
          <w:p w:rsidR="007127B6" w:rsidRPr="006268D3" w:rsidRDefault="007127B6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2000spm commercial floorspace</w:t>
            </w:r>
          </w:p>
        </w:tc>
        <w:tc>
          <w:tcPr>
            <w:tcW w:w="1229" w:type="dxa"/>
          </w:tcPr>
          <w:p w:rsidR="007127B6" w:rsidRDefault="007127B6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£650,000</w:t>
            </w:r>
          </w:p>
        </w:tc>
        <w:tc>
          <w:tcPr>
            <w:tcW w:w="676" w:type="dxa"/>
          </w:tcPr>
          <w:p w:rsidR="007127B6" w:rsidRPr="006268D3" w:rsidRDefault="007127B6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2977" w:type="dxa"/>
          </w:tcPr>
          <w:p w:rsidR="007127B6" w:rsidRPr="006268D3" w:rsidRDefault="00F51A13" w:rsidP="009F25A2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8 month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delivery period. </w:t>
            </w:r>
            <w:r w:rsidR="0044665C">
              <w:rPr>
                <w:rFonts w:cstheme="minorHAnsi"/>
                <w:sz w:val="20"/>
                <w:szCs w:val="20"/>
              </w:rPr>
              <w:t>Middle level risks given on planning, 3</w:t>
            </w:r>
            <w:r w:rsidR="0044665C" w:rsidRPr="0044665C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="0044665C">
              <w:rPr>
                <w:rFonts w:cstheme="minorHAnsi"/>
                <w:sz w:val="20"/>
                <w:szCs w:val="20"/>
              </w:rPr>
              <w:t xml:space="preserve"> party agreements and higher risk on funding</w:t>
            </w:r>
            <w:r w:rsidR="0044665C" w:rsidRPr="00F51A13">
              <w:rPr>
                <w:rFonts w:cstheme="minorHAnsi"/>
                <w:sz w:val="20"/>
                <w:szCs w:val="20"/>
              </w:rPr>
              <w:t xml:space="preserve"> </w:t>
            </w:r>
            <w:r w:rsidR="0044665C">
              <w:rPr>
                <w:rFonts w:cstheme="minorHAnsi"/>
                <w:sz w:val="20"/>
                <w:szCs w:val="20"/>
              </w:rPr>
              <w:t xml:space="preserve">&amp; cost </w:t>
            </w:r>
            <w:r w:rsidR="0044665C" w:rsidRPr="00F51A13">
              <w:rPr>
                <w:rFonts w:cstheme="minorHAnsi"/>
                <w:sz w:val="20"/>
                <w:szCs w:val="20"/>
              </w:rPr>
              <w:t>estimates</w:t>
            </w:r>
            <w:r w:rsidR="0044665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127B6" w:rsidRPr="006268D3" w:rsidTr="003227ED">
        <w:tc>
          <w:tcPr>
            <w:tcW w:w="2236" w:type="dxa"/>
          </w:tcPr>
          <w:p w:rsidR="000762F4" w:rsidRPr="006268D3" w:rsidRDefault="007127B6" w:rsidP="00F83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I54 Western Extension South</w:t>
            </w:r>
            <w:r w:rsidR="00F83FB9">
              <w:rPr>
                <w:rFonts w:cstheme="minorHAnsi"/>
                <w:sz w:val="20"/>
                <w:szCs w:val="20"/>
              </w:rPr>
              <w:t xml:space="preserve">, </w:t>
            </w:r>
            <w:r w:rsidR="000762F4">
              <w:rPr>
                <w:rFonts w:cstheme="minorHAnsi"/>
                <w:sz w:val="20"/>
                <w:szCs w:val="20"/>
              </w:rPr>
              <w:t>SCC</w:t>
            </w:r>
          </w:p>
        </w:tc>
        <w:tc>
          <w:tcPr>
            <w:tcW w:w="2233" w:type="dxa"/>
          </w:tcPr>
          <w:p w:rsidR="007127B6" w:rsidRPr="006268D3" w:rsidRDefault="007127B6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1,700 jobs</w:t>
            </w:r>
            <w:r w:rsidR="0044665C">
              <w:rPr>
                <w:rFonts w:cstheme="minorHAnsi"/>
                <w:sz w:val="20"/>
                <w:szCs w:val="20"/>
              </w:rPr>
              <w:t xml:space="preserve"> (Shared with Black Co LEP)</w:t>
            </w:r>
          </w:p>
        </w:tc>
        <w:tc>
          <w:tcPr>
            <w:tcW w:w="1229" w:type="dxa"/>
          </w:tcPr>
          <w:p w:rsidR="007127B6" w:rsidRPr="006268D3" w:rsidRDefault="007127B6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£2,000,000</w:t>
            </w:r>
          </w:p>
        </w:tc>
        <w:tc>
          <w:tcPr>
            <w:tcW w:w="676" w:type="dxa"/>
          </w:tcPr>
          <w:p w:rsidR="007127B6" w:rsidRPr="006268D3" w:rsidRDefault="007127B6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2977" w:type="dxa"/>
          </w:tcPr>
          <w:p w:rsidR="007127B6" w:rsidRPr="006268D3" w:rsidRDefault="008F58CA" w:rsidP="009F25A2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9 month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delivery period. </w:t>
            </w:r>
            <w:r w:rsidR="0044665C">
              <w:rPr>
                <w:rFonts w:cstheme="minorHAnsi"/>
                <w:sz w:val="20"/>
                <w:szCs w:val="20"/>
              </w:rPr>
              <w:t xml:space="preserve">Query on </w:t>
            </w:r>
            <w:r>
              <w:rPr>
                <w:rFonts w:cstheme="minorHAnsi"/>
                <w:sz w:val="20"/>
                <w:szCs w:val="20"/>
              </w:rPr>
              <w:t>match f</w:t>
            </w:r>
            <w:r w:rsidR="0044665C">
              <w:rPr>
                <w:rFonts w:cstheme="minorHAnsi"/>
                <w:sz w:val="20"/>
                <w:szCs w:val="20"/>
              </w:rPr>
              <w:t xml:space="preserve">unding </w:t>
            </w:r>
            <w:proofErr w:type="gramStart"/>
            <w:r>
              <w:rPr>
                <w:rFonts w:cstheme="minorHAnsi"/>
                <w:sz w:val="20"/>
                <w:szCs w:val="20"/>
              </w:rPr>
              <w:t>committed .</w:t>
            </w:r>
            <w:proofErr w:type="gramEnd"/>
          </w:p>
        </w:tc>
      </w:tr>
      <w:tr w:rsidR="007127B6" w:rsidRPr="006268D3" w:rsidTr="003227ED">
        <w:tc>
          <w:tcPr>
            <w:tcW w:w="2236" w:type="dxa"/>
          </w:tcPr>
          <w:p w:rsidR="000762F4" w:rsidRPr="006268D3" w:rsidRDefault="00F52077" w:rsidP="00F83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Birmingham Road, Lichfield</w:t>
            </w:r>
            <w:r w:rsidR="00F83FB9">
              <w:rPr>
                <w:rFonts w:cstheme="minorHAnsi"/>
                <w:sz w:val="20"/>
                <w:szCs w:val="20"/>
              </w:rPr>
              <w:t xml:space="preserve">, </w:t>
            </w:r>
            <w:r w:rsidR="000762F4">
              <w:rPr>
                <w:rFonts w:cstheme="minorHAnsi"/>
                <w:sz w:val="20"/>
                <w:szCs w:val="20"/>
              </w:rPr>
              <w:t>SCC</w:t>
            </w:r>
          </w:p>
        </w:tc>
        <w:tc>
          <w:tcPr>
            <w:tcW w:w="2233" w:type="dxa"/>
          </w:tcPr>
          <w:p w:rsidR="007127B6" w:rsidRDefault="00F52077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660 jobs</w:t>
            </w:r>
          </w:p>
          <w:p w:rsidR="00F52077" w:rsidRPr="006268D3" w:rsidRDefault="00F52077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 homes</w:t>
            </w:r>
          </w:p>
        </w:tc>
        <w:tc>
          <w:tcPr>
            <w:tcW w:w="1229" w:type="dxa"/>
          </w:tcPr>
          <w:p w:rsidR="007127B6" w:rsidRPr="006268D3" w:rsidRDefault="00F52077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£1,660,000</w:t>
            </w:r>
          </w:p>
        </w:tc>
        <w:tc>
          <w:tcPr>
            <w:tcW w:w="676" w:type="dxa"/>
          </w:tcPr>
          <w:p w:rsidR="007127B6" w:rsidRPr="006268D3" w:rsidRDefault="000762F4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2977" w:type="dxa"/>
          </w:tcPr>
          <w:p w:rsidR="007127B6" w:rsidRPr="006268D3" w:rsidRDefault="008F58CA" w:rsidP="009F25A2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12 month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delivery prog. </w:t>
            </w:r>
            <w:r w:rsidR="0044665C">
              <w:rPr>
                <w:rFonts w:cstheme="minorHAnsi"/>
                <w:sz w:val="20"/>
                <w:szCs w:val="20"/>
              </w:rPr>
              <w:t xml:space="preserve">Requires stronger rationale on </w:t>
            </w:r>
            <w:r>
              <w:rPr>
                <w:rFonts w:cstheme="minorHAnsi"/>
                <w:sz w:val="20"/>
                <w:szCs w:val="20"/>
              </w:rPr>
              <w:t xml:space="preserve">how </w:t>
            </w:r>
            <w:r w:rsidR="0044665C">
              <w:rPr>
                <w:rFonts w:cstheme="minorHAnsi"/>
                <w:sz w:val="20"/>
                <w:szCs w:val="20"/>
              </w:rPr>
              <w:t xml:space="preserve">outputs </w:t>
            </w:r>
            <w:r>
              <w:rPr>
                <w:rFonts w:cstheme="minorHAnsi"/>
                <w:sz w:val="20"/>
                <w:szCs w:val="20"/>
              </w:rPr>
              <w:t>would be</w:t>
            </w:r>
            <w:r w:rsidR="0044665C">
              <w:rPr>
                <w:rFonts w:cstheme="minorHAnsi"/>
                <w:sz w:val="20"/>
                <w:szCs w:val="20"/>
              </w:rPr>
              <w:t xml:space="preserve"> achieved. </w:t>
            </w:r>
          </w:p>
        </w:tc>
      </w:tr>
      <w:tr w:rsidR="007127B6" w:rsidRPr="006268D3" w:rsidTr="003227ED">
        <w:tc>
          <w:tcPr>
            <w:tcW w:w="2236" w:type="dxa"/>
          </w:tcPr>
          <w:p w:rsidR="007127B6" w:rsidRPr="006268D3" w:rsidRDefault="000762F4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Re-purposing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Shirehall</w:t>
            </w:r>
            <w:proofErr w:type="spellEnd"/>
            <w:r w:rsidR="00F83FB9">
              <w:rPr>
                <w:rFonts w:cstheme="minorHAnsi"/>
                <w:sz w:val="20"/>
                <w:szCs w:val="20"/>
              </w:rPr>
              <w:t>, SCC</w:t>
            </w:r>
          </w:p>
        </w:tc>
        <w:tc>
          <w:tcPr>
            <w:tcW w:w="2233" w:type="dxa"/>
          </w:tcPr>
          <w:p w:rsidR="007127B6" w:rsidRPr="006268D3" w:rsidRDefault="000762F4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tbc</w:t>
            </w:r>
          </w:p>
        </w:tc>
        <w:tc>
          <w:tcPr>
            <w:tcW w:w="1229" w:type="dxa"/>
          </w:tcPr>
          <w:p w:rsidR="007127B6" w:rsidRPr="006268D3" w:rsidRDefault="000762F4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£2,000,000</w:t>
            </w:r>
          </w:p>
        </w:tc>
        <w:tc>
          <w:tcPr>
            <w:tcW w:w="676" w:type="dxa"/>
          </w:tcPr>
          <w:p w:rsidR="007127B6" w:rsidRPr="006268D3" w:rsidRDefault="000762F4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977" w:type="dxa"/>
          </w:tcPr>
          <w:p w:rsidR="007127B6" w:rsidRPr="006268D3" w:rsidRDefault="008F58CA" w:rsidP="009F25A2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15 month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delivery prog. Further </w:t>
            </w:r>
            <w:r w:rsidR="0044665C">
              <w:rPr>
                <w:rFonts w:cstheme="minorHAnsi"/>
                <w:sz w:val="20"/>
                <w:szCs w:val="20"/>
              </w:rPr>
              <w:t xml:space="preserve">market analysis </w:t>
            </w:r>
            <w:r>
              <w:rPr>
                <w:rFonts w:cstheme="minorHAnsi"/>
                <w:sz w:val="20"/>
                <w:szCs w:val="20"/>
              </w:rPr>
              <w:t>&amp; b</w:t>
            </w:r>
            <w:r w:rsidR="0044665C">
              <w:rPr>
                <w:rFonts w:cstheme="minorHAnsi"/>
                <w:sz w:val="20"/>
                <w:szCs w:val="20"/>
              </w:rPr>
              <w:t>usiness plan would strengthen further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127B6" w:rsidRPr="006268D3" w:rsidTr="003227ED">
        <w:tc>
          <w:tcPr>
            <w:tcW w:w="2236" w:type="dxa"/>
          </w:tcPr>
          <w:p w:rsidR="000762F4" w:rsidRPr="006268D3" w:rsidRDefault="000762F4" w:rsidP="00F83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Unity Walk Regeneration</w:t>
            </w:r>
            <w:r w:rsidR="00F83F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SoTCC</w:t>
            </w:r>
            <w:proofErr w:type="spellEnd"/>
          </w:p>
        </w:tc>
        <w:tc>
          <w:tcPr>
            <w:tcW w:w="2233" w:type="dxa"/>
          </w:tcPr>
          <w:p w:rsidR="007127B6" w:rsidRDefault="000762F4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 jobs</w:t>
            </w:r>
          </w:p>
          <w:p w:rsidR="000762F4" w:rsidRPr="006268D3" w:rsidRDefault="000762F4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 homes</w:t>
            </w:r>
          </w:p>
        </w:tc>
        <w:tc>
          <w:tcPr>
            <w:tcW w:w="1229" w:type="dxa"/>
          </w:tcPr>
          <w:p w:rsidR="007127B6" w:rsidRPr="006268D3" w:rsidRDefault="000762F4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£1,500,000</w:t>
            </w:r>
          </w:p>
        </w:tc>
        <w:tc>
          <w:tcPr>
            <w:tcW w:w="676" w:type="dxa"/>
          </w:tcPr>
          <w:p w:rsidR="007127B6" w:rsidRPr="006268D3" w:rsidRDefault="000762F4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2977" w:type="dxa"/>
          </w:tcPr>
          <w:p w:rsidR="007127B6" w:rsidRPr="006268D3" w:rsidRDefault="008F58CA" w:rsidP="009F25A2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34 month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delivery prog. Retail market analysis would assist development of commercial case</w:t>
            </w:r>
          </w:p>
        </w:tc>
      </w:tr>
      <w:tr w:rsidR="007127B6" w:rsidRPr="006268D3" w:rsidTr="003227ED">
        <w:tc>
          <w:tcPr>
            <w:tcW w:w="2236" w:type="dxa"/>
          </w:tcPr>
          <w:p w:rsidR="007127B6" w:rsidRDefault="000762F4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Hughes Concrete Regeneration at Cornhill</w:t>
            </w:r>
            <w:r w:rsidR="00F83FB9">
              <w:rPr>
                <w:rFonts w:cstheme="minorHAnsi"/>
                <w:sz w:val="20"/>
                <w:szCs w:val="20"/>
              </w:rPr>
              <w:t>,</w:t>
            </w:r>
          </w:p>
          <w:p w:rsidR="000762F4" w:rsidRPr="006268D3" w:rsidRDefault="000762F4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SMDC</w:t>
            </w:r>
          </w:p>
        </w:tc>
        <w:tc>
          <w:tcPr>
            <w:tcW w:w="2233" w:type="dxa"/>
          </w:tcPr>
          <w:p w:rsidR="007127B6" w:rsidRDefault="000762F4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 jobs</w:t>
            </w:r>
          </w:p>
          <w:p w:rsidR="000762F4" w:rsidRPr="006268D3" w:rsidRDefault="000762F4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175 homes</w:t>
            </w:r>
          </w:p>
        </w:tc>
        <w:tc>
          <w:tcPr>
            <w:tcW w:w="1229" w:type="dxa"/>
          </w:tcPr>
          <w:p w:rsidR="007127B6" w:rsidRPr="006268D3" w:rsidRDefault="000762F4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£5,930,000</w:t>
            </w:r>
          </w:p>
        </w:tc>
        <w:tc>
          <w:tcPr>
            <w:tcW w:w="676" w:type="dxa"/>
          </w:tcPr>
          <w:p w:rsidR="007127B6" w:rsidRPr="006268D3" w:rsidRDefault="000762F4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A-</w:t>
            </w:r>
          </w:p>
        </w:tc>
        <w:tc>
          <w:tcPr>
            <w:tcW w:w="2977" w:type="dxa"/>
          </w:tcPr>
          <w:p w:rsidR="007127B6" w:rsidRPr="006268D3" w:rsidRDefault="000762F4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Remediation scheme only. Does not guarantee site development will follow immediately. No funding package for that </w:t>
            </w:r>
            <w:proofErr w:type="gramStart"/>
            <w:r>
              <w:rPr>
                <w:rFonts w:cstheme="minorHAnsi"/>
                <w:sz w:val="20"/>
                <w:szCs w:val="20"/>
              </w:rPr>
              <w:t>as yet</w:t>
            </w:r>
            <w:proofErr w:type="gramEnd"/>
            <w:r>
              <w:rPr>
                <w:rFonts w:cstheme="minorHAnsi"/>
                <w:sz w:val="20"/>
                <w:szCs w:val="20"/>
              </w:rPr>
              <w:t>. No outputs by deadline</w:t>
            </w:r>
            <w:r w:rsidR="00F51A1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51A13" w:rsidRPr="006268D3" w:rsidTr="003227ED">
        <w:tc>
          <w:tcPr>
            <w:tcW w:w="2236" w:type="dxa"/>
          </w:tcPr>
          <w:p w:rsidR="00F51A13" w:rsidRPr="00F51A13" w:rsidRDefault="00F51A13" w:rsidP="009F25A2">
            <w:pPr>
              <w:rPr>
                <w:rFonts w:cstheme="minorHAnsi"/>
                <w:b/>
                <w:sz w:val="20"/>
                <w:szCs w:val="20"/>
              </w:rPr>
            </w:pPr>
            <w:r w:rsidRPr="00F51A1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233" w:type="dxa"/>
          </w:tcPr>
          <w:p w:rsidR="00F51A13" w:rsidRDefault="00F51A13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2,815 jobs</w:t>
            </w:r>
          </w:p>
          <w:p w:rsidR="00F51A13" w:rsidRDefault="00F51A13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447 homes</w:t>
            </w:r>
          </w:p>
        </w:tc>
        <w:tc>
          <w:tcPr>
            <w:tcW w:w="1229" w:type="dxa"/>
          </w:tcPr>
          <w:p w:rsidR="00F51A13" w:rsidRDefault="00F51A13" w:rsidP="009F2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£13,740,000</w:t>
            </w:r>
          </w:p>
        </w:tc>
        <w:tc>
          <w:tcPr>
            <w:tcW w:w="676" w:type="dxa"/>
          </w:tcPr>
          <w:p w:rsidR="00F51A13" w:rsidRDefault="00F51A13" w:rsidP="009F25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1A13" w:rsidRDefault="00F51A13" w:rsidP="009F25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268D3" w:rsidRDefault="006268D3" w:rsidP="009F25A2">
      <w:pPr>
        <w:spacing w:after="0" w:line="240" w:lineRule="auto"/>
        <w:rPr>
          <w:rFonts w:cstheme="minorHAnsi"/>
          <w:sz w:val="20"/>
          <w:szCs w:val="20"/>
        </w:rPr>
      </w:pPr>
    </w:p>
    <w:p w:rsidR="008B3047" w:rsidRPr="008B3047" w:rsidRDefault="003227ED" w:rsidP="003227E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</w:t>
      </w:r>
      <w:r w:rsidR="008B3047" w:rsidRPr="008B3047">
        <w:rPr>
          <w:rFonts w:cstheme="minorHAnsi"/>
        </w:rPr>
        <w:t xml:space="preserve">further LGF becomes available for reallocation, </w:t>
      </w:r>
      <w:r>
        <w:rPr>
          <w:rFonts w:cstheme="minorHAnsi"/>
        </w:rPr>
        <w:t xml:space="preserve">the </w:t>
      </w:r>
      <w:r w:rsidR="008B3047" w:rsidRPr="008B3047">
        <w:rPr>
          <w:rFonts w:cstheme="minorHAnsi"/>
        </w:rPr>
        <w:t xml:space="preserve">pipeline </w:t>
      </w:r>
      <w:r w:rsidR="00F83FB9" w:rsidRPr="008B3047">
        <w:rPr>
          <w:rFonts w:cstheme="minorHAnsi"/>
        </w:rPr>
        <w:t xml:space="preserve">schemes </w:t>
      </w:r>
      <w:r w:rsidR="00B76EF9" w:rsidRPr="008B3047">
        <w:rPr>
          <w:rFonts w:cstheme="minorHAnsi"/>
        </w:rPr>
        <w:t xml:space="preserve">which the ITE assessed </w:t>
      </w:r>
      <w:r w:rsidR="008B3047" w:rsidRPr="008B3047">
        <w:rPr>
          <w:rFonts w:cstheme="minorHAnsi"/>
        </w:rPr>
        <w:t xml:space="preserve">in May 2019 </w:t>
      </w:r>
      <w:r w:rsidR="00B76EF9" w:rsidRPr="008B3047">
        <w:rPr>
          <w:rFonts w:cstheme="minorHAnsi"/>
        </w:rPr>
        <w:t xml:space="preserve">as </w:t>
      </w:r>
      <w:r w:rsidR="008B3047" w:rsidRPr="008B3047">
        <w:rPr>
          <w:rFonts w:cstheme="minorHAnsi"/>
        </w:rPr>
        <w:t>providing the lowest risk options in terms of deliverability by deadline will not generate the outputs lost from the existing GD programme.</w:t>
      </w:r>
      <w:r w:rsidR="00B76EF9" w:rsidRPr="008B3047">
        <w:rPr>
          <w:rFonts w:cstheme="minorHAnsi"/>
        </w:rPr>
        <w:t xml:space="preserve"> </w:t>
      </w:r>
      <w:r w:rsidR="008B3047">
        <w:rPr>
          <w:rFonts w:cstheme="minorHAnsi"/>
        </w:rPr>
        <w:t xml:space="preserve">It is therefore proposed that this position is included in the PAG CDGD update report to the LEP Executive </w:t>
      </w:r>
      <w:r>
        <w:rPr>
          <w:rFonts w:cstheme="minorHAnsi"/>
        </w:rPr>
        <w:t>B</w:t>
      </w:r>
      <w:r w:rsidR="008B3047">
        <w:rPr>
          <w:rFonts w:cstheme="minorHAnsi"/>
        </w:rPr>
        <w:t xml:space="preserve">oard on 19 September 2019 </w:t>
      </w:r>
      <w:r>
        <w:rPr>
          <w:rFonts w:cstheme="minorHAnsi"/>
        </w:rPr>
        <w:t xml:space="preserve">and that PAG colleagues discuss and agree the detail of the </w:t>
      </w:r>
      <w:r w:rsidR="008B3047">
        <w:rPr>
          <w:rFonts w:cstheme="minorHAnsi"/>
        </w:rPr>
        <w:t xml:space="preserve">recommendation </w:t>
      </w:r>
      <w:r>
        <w:rPr>
          <w:rFonts w:cstheme="minorHAnsi"/>
        </w:rPr>
        <w:t xml:space="preserve">which they will make to the </w:t>
      </w:r>
      <w:r w:rsidR="008B3047">
        <w:rPr>
          <w:rFonts w:cstheme="minorHAnsi"/>
        </w:rPr>
        <w:t xml:space="preserve">Board </w:t>
      </w:r>
      <w:r>
        <w:rPr>
          <w:rFonts w:cstheme="minorHAnsi"/>
        </w:rPr>
        <w:t xml:space="preserve">regarding a further </w:t>
      </w:r>
      <w:r w:rsidR="008B3047">
        <w:rPr>
          <w:rFonts w:cstheme="minorHAnsi"/>
        </w:rPr>
        <w:t>Call for Projects</w:t>
      </w:r>
      <w:r w:rsidR="00045C03">
        <w:rPr>
          <w:rFonts w:cstheme="minorHAnsi"/>
        </w:rPr>
        <w:t xml:space="preserve"> </w:t>
      </w:r>
      <w:proofErr w:type="gramStart"/>
      <w:r w:rsidR="00045C03">
        <w:rPr>
          <w:rFonts w:cstheme="minorHAnsi"/>
        </w:rPr>
        <w:t>with regard to</w:t>
      </w:r>
      <w:proofErr w:type="gramEnd"/>
      <w:r w:rsidR="00045C03">
        <w:rPr>
          <w:rFonts w:cstheme="minorHAnsi"/>
        </w:rPr>
        <w:t xml:space="preserve">: timing, criteria and scope. </w:t>
      </w:r>
    </w:p>
    <w:sectPr w:rsidR="008B3047" w:rsidRPr="008B3047" w:rsidSect="00322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7ED" w:rsidRDefault="003227ED" w:rsidP="00B53D9A">
      <w:pPr>
        <w:spacing w:after="0" w:line="240" w:lineRule="auto"/>
      </w:pPr>
      <w:r>
        <w:separator/>
      </w:r>
    </w:p>
  </w:endnote>
  <w:endnote w:type="continuationSeparator" w:id="0">
    <w:p w:rsidR="003227ED" w:rsidRDefault="003227ED" w:rsidP="00B5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7ED" w:rsidRDefault="003227ED" w:rsidP="00B53D9A">
      <w:pPr>
        <w:spacing w:after="0" w:line="240" w:lineRule="auto"/>
      </w:pPr>
      <w:r>
        <w:separator/>
      </w:r>
    </w:p>
  </w:footnote>
  <w:footnote w:type="continuationSeparator" w:id="0">
    <w:p w:rsidR="003227ED" w:rsidRDefault="003227ED" w:rsidP="00B53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2EDA"/>
    <w:multiLevelType w:val="hybridMultilevel"/>
    <w:tmpl w:val="30162A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A444B"/>
    <w:multiLevelType w:val="hybridMultilevel"/>
    <w:tmpl w:val="6BF641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C1B05"/>
    <w:multiLevelType w:val="multilevel"/>
    <w:tmpl w:val="9BB2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A2"/>
    <w:rsid w:val="00045C03"/>
    <w:rsid w:val="000762F4"/>
    <w:rsid w:val="0017019C"/>
    <w:rsid w:val="00257642"/>
    <w:rsid w:val="003227ED"/>
    <w:rsid w:val="0044665C"/>
    <w:rsid w:val="006268D3"/>
    <w:rsid w:val="007127B6"/>
    <w:rsid w:val="00834D45"/>
    <w:rsid w:val="008B3047"/>
    <w:rsid w:val="008F58CA"/>
    <w:rsid w:val="009C6B02"/>
    <w:rsid w:val="009F25A2"/>
    <w:rsid w:val="00B53D9A"/>
    <w:rsid w:val="00B76EF9"/>
    <w:rsid w:val="00BB00CF"/>
    <w:rsid w:val="00C31E59"/>
    <w:rsid w:val="00D63BDF"/>
    <w:rsid w:val="00F51A13"/>
    <w:rsid w:val="00F52077"/>
    <w:rsid w:val="00F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8BAAC5"/>
  <w15:chartTrackingRefBased/>
  <w15:docId w15:val="{F825DE56-CAC7-4DAA-BB1A-918B719A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Palphreyman, Sharon (Corporate)</cp:lastModifiedBy>
  <cp:revision>8</cp:revision>
  <dcterms:created xsi:type="dcterms:W3CDTF">2019-08-21T18:07:00Z</dcterms:created>
  <dcterms:modified xsi:type="dcterms:W3CDTF">2019-09-12T16:02:00Z</dcterms:modified>
</cp:coreProperties>
</file>