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C125" w14:textId="77777777" w:rsidR="003242D6" w:rsidRPr="00D64B6D" w:rsidRDefault="003242D6" w:rsidP="003242D6">
      <w:pPr>
        <w:jc w:val="center"/>
        <w:rPr>
          <w:rFonts w:cstheme="minorHAnsi"/>
          <w:b/>
          <w:sz w:val="24"/>
          <w:szCs w:val="24"/>
        </w:rPr>
      </w:pPr>
      <w:r w:rsidRPr="00D64B6D">
        <w:rPr>
          <w:rFonts w:cstheme="minorHAnsi"/>
          <w:b/>
          <w:sz w:val="24"/>
          <w:szCs w:val="24"/>
        </w:rPr>
        <w:t>STOKE ON TRENT &amp; STAFFORDSHIRE</w:t>
      </w:r>
    </w:p>
    <w:p w14:paraId="1D049949" w14:textId="77777777" w:rsidR="003242D6" w:rsidRPr="00D64B6D" w:rsidRDefault="003242D6" w:rsidP="003242D6">
      <w:pPr>
        <w:jc w:val="center"/>
        <w:rPr>
          <w:rFonts w:cstheme="minorHAnsi"/>
          <w:b/>
          <w:sz w:val="24"/>
          <w:szCs w:val="24"/>
        </w:rPr>
      </w:pPr>
      <w:r w:rsidRPr="00D64B6D">
        <w:rPr>
          <w:rFonts w:cstheme="minorHAnsi"/>
          <w:b/>
          <w:sz w:val="24"/>
          <w:szCs w:val="24"/>
        </w:rPr>
        <w:t>LOCAL ENTERPRISE PARTNERSHIP</w:t>
      </w:r>
    </w:p>
    <w:p w14:paraId="54794E20" w14:textId="77777777" w:rsidR="003242D6" w:rsidRPr="00D64B6D" w:rsidRDefault="003242D6" w:rsidP="003242D6">
      <w:pPr>
        <w:jc w:val="center"/>
        <w:rPr>
          <w:rFonts w:cstheme="minorHAnsi"/>
          <w:b/>
          <w:sz w:val="24"/>
          <w:szCs w:val="24"/>
        </w:rPr>
      </w:pPr>
      <w:r w:rsidRPr="00D64B6D">
        <w:rPr>
          <w:rFonts w:cstheme="minorHAnsi"/>
          <w:b/>
          <w:sz w:val="24"/>
          <w:szCs w:val="24"/>
        </w:rPr>
        <w:t>COMPANY EXECUTIVE BOARD MEETING</w:t>
      </w:r>
    </w:p>
    <w:p w14:paraId="4CB6FBD7" w14:textId="77777777" w:rsidR="003242D6" w:rsidRDefault="003242D6" w:rsidP="003242D6">
      <w:pPr>
        <w:jc w:val="center"/>
        <w:rPr>
          <w:rFonts w:cstheme="minorHAnsi"/>
          <w:b/>
          <w:sz w:val="24"/>
          <w:szCs w:val="24"/>
        </w:rPr>
      </w:pPr>
      <w:r w:rsidRPr="00D64B6D">
        <w:rPr>
          <w:rFonts w:cstheme="minorHAnsi"/>
          <w:b/>
          <w:sz w:val="24"/>
          <w:szCs w:val="24"/>
        </w:rPr>
        <w:t>1</w:t>
      </w:r>
      <w:r>
        <w:rPr>
          <w:rFonts w:cstheme="minorHAnsi"/>
          <w:b/>
          <w:sz w:val="24"/>
          <w:szCs w:val="24"/>
        </w:rPr>
        <w:t>4</w:t>
      </w:r>
      <w:r w:rsidRPr="00D64B6D">
        <w:rPr>
          <w:rFonts w:cstheme="minorHAnsi"/>
          <w:b/>
          <w:sz w:val="24"/>
          <w:szCs w:val="24"/>
        </w:rPr>
        <w:t xml:space="preserve"> </w:t>
      </w:r>
      <w:r>
        <w:rPr>
          <w:rFonts w:cstheme="minorHAnsi"/>
          <w:b/>
          <w:sz w:val="24"/>
          <w:szCs w:val="24"/>
        </w:rPr>
        <w:t>May</w:t>
      </w:r>
      <w:r w:rsidRPr="00D64B6D">
        <w:rPr>
          <w:rFonts w:cstheme="minorHAnsi"/>
          <w:b/>
          <w:sz w:val="24"/>
          <w:szCs w:val="24"/>
        </w:rPr>
        <w:t xml:space="preserve"> 2020</w:t>
      </w:r>
    </w:p>
    <w:p w14:paraId="3CFD1B50" w14:textId="0EABC345" w:rsidR="00F73119" w:rsidRPr="003242D6" w:rsidRDefault="00F73119" w:rsidP="001213F6">
      <w:pPr>
        <w:jc w:val="center"/>
        <w:rPr>
          <w:rFonts w:cstheme="minorHAnsi"/>
          <w:b/>
          <w:bCs/>
          <w:sz w:val="24"/>
          <w:szCs w:val="24"/>
          <w:u w:val="single"/>
        </w:rPr>
      </w:pPr>
      <w:r w:rsidRPr="003242D6">
        <w:rPr>
          <w:rFonts w:cstheme="minorHAnsi"/>
          <w:b/>
          <w:bCs/>
          <w:sz w:val="24"/>
          <w:szCs w:val="24"/>
          <w:u w:val="single"/>
        </w:rPr>
        <w:t>2019-20 Final Outturn LEP Finance Dashboard Briefing Note</w:t>
      </w:r>
    </w:p>
    <w:p w14:paraId="03FF0A7F" w14:textId="77777777" w:rsidR="00F73119" w:rsidRPr="003242D6" w:rsidRDefault="00F73119" w:rsidP="008C0074">
      <w:pPr>
        <w:jc w:val="both"/>
        <w:rPr>
          <w:rFonts w:cstheme="minorHAnsi"/>
          <w:sz w:val="24"/>
          <w:szCs w:val="24"/>
        </w:rPr>
      </w:pPr>
    </w:p>
    <w:p w14:paraId="36FE5790" w14:textId="49591922" w:rsidR="00F73119" w:rsidRPr="003242D6" w:rsidRDefault="00F73119" w:rsidP="008C0074">
      <w:pPr>
        <w:jc w:val="both"/>
        <w:rPr>
          <w:rFonts w:cstheme="minorHAnsi"/>
          <w:b/>
          <w:bCs/>
          <w:sz w:val="24"/>
          <w:szCs w:val="24"/>
          <w:u w:val="single"/>
        </w:rPr>
      </w:pPr>
      <w:r w:rsidRPr="003242D6">
        <w:rPr>
          <w:rFonts w:cstheme="minorHAnsi"/>
          <w:b/>
          <w:bCs/>
          <w:sz w:val="24"/>
          <w:szCs w:val="24"/>
          <w:u w:val="single"/>
        </w:rPr>
        <w:t>Local Growth Deal</w:t>
      </w:r>
    </w:p>
    <w:p w14:paraId="722F6538" w14:textId="5305A30A" w:rsidR="00754D8C" w:rsidRPr="003242D6" w:rsidRDefault="00754D8C" w:rsidP="008C0074">
      <w:pPr>
        <w:jc w:val="both"/>
        <w:rPr>
          <w:rFonts w:cstheme="minorHAnsi"/>
          <w:b/>
          <w:bCs/>
          <w:sz w:val="24"/>
          <w:szCs w:val="24"/>
        </w:rPr>
      </w:pPr>
      <w:r w:rsidRPr="003242D6">
        <w:rPr>
          <w:rFonts w:cstheme="minorHAnsi"/>
          <w:b/>
          <w:bCs/>
          <w:sz w:val="24"/>
          <w:szCs w:val="24"/>
        </w:rPr>
        <w:t>LGD Programme funding is £98.3m over 6 years (201</w:t>
      </w:r>
      <w:r w:rsidR="009C395E" w:rsidRPr="003242D6">
        <w:rPr>
          <w:rFonts w:cstheme="minorHAnsi"/>
          <w:b/>
          <w:bCs/>
          <w:sz w:val="24"/>
          <w:szCs w:val="24"/>
        </w:rPr>
        <w:t>5</w:t>
      </w:r>
      <w:r w:rsidRPr="003242D6">
        <w:rPr>
          <w:rFonts w:cstheme="minorHAnsi"/>
          <w:b/>
          <w:bCs/>
          <w:sz w:val="24"/>
          <w:szCs w:val="24"/>
        </w:rPr>
        <w:t>-1</w:t>
      </w:r>
      <w:r w:rsidR="009C395E" w:rsidRPr="003242D6">
        <w:rPr>
          <w:rFonts w:cstheme="minorHAnsi"/>
          <w:b/>
          <w:bCs/>
          <w:sz w:val="24"/>
          <w:szCs w:val="24"/>
        </w:rPr>
        <w:t>6</w:t>
      </w:r>
      <w:r w:rsidRPr="003242D6">
        <w:rPr>
          <w:rFonts w:cstheme="minorHAnsi"/>
          <w:b/>
          <w:bCs/>
          <w:sz w:val="24"/>
          <w:szCs w:val="24"/>
        </w:rPr>
        <w:t xml:space="preserve"> to 2020-21) and is funded by an annual Local Growth Fund Grant allocation. The LGF Grant is profiled o</w:t>
      </w:r>
      <w:r w:rsidR="009C395E" w:rsidRPr="003242D6">
        <w:rPr>
          <w:rFonts w:cstheme="minorHAnsi"/>
          <w:b/>
          <w:bCs/>
          <w:sz w:val="24"/>
          <w:szCs w:val="24"/>
        </w:rPr>
        <w:t>ver 6 year</w:t>
      </w:r>
      <w:r w:rsidR="00E963DF" w:rsidRPr="003242D6">
        <w:rPr>
          <w:rFonts w:cstheme="minorHAnsi"/>
          <w:b/>
          <w:bCs/>
          <w:sz w:val="24"/>
          <w:szCs w:val="24"/>
        </w:rPr>
        <w:t>s</w:t>
      </w:r>
      <w:r w:rsidRPr="003242D6">
        <w:rPr>
          <w:rFonts w:cstheme="minorHAnsi"/>
          <w:b/>
          <w:bCs/>
          <w:sz w:val="24"/>
          <w:szCs w:val="24"/>
        </w:rPr>
        <w:t xml:space="preserve"> and is allocated to </w:t>
      </w:r>
      <w:r w:rsidR="00E963DF" w:rsidRPr="003242D6">
        <w:rPr>
          <w:rFonts w:cstheme="minorHAnsi"/>
          <w:b/>
          <w:bCs/>
          <w:sz w:val="24"/>
          <w:szCs w:val="24"/>
        </w:rPr>
        <w:t xml:space="preserve">the </w:t>
      </w:r>
      <w:r w:rsidRPr="003242D6">
        <w:rPr>
          <w:rFonts w:cstheme="minorHAnsi"/>
          <w:b/>
          <w:bCs/>
          <w:sz w:val="24"/>
          <w:szCs w:val="24"/>
        </w:rPr>
        <w:t>LEP in accordance with the BEIS approved LGD1, 2 &amp; 3 LGD Investment Programme.</w:t>
      </w:r>
    </w:p>
    <w:p w14:paraId="70546926" w14:textId="27DC9423" w:rsidR="00F73119" w:rsidRPr="003242D6" w:rsidRDefault="00CD672F" w:rsidP="008C0074">
      <w:pPr>
        <w:pStyle w:val="ListParagraph"/>
        <w:numPr>
          <w:ilvl w:val="0"/>
          <w:numId w:val="1"/>
        </w:numPr>
        <w:jc w:val="both"/>
        <w:rPr>
          <w:rFonts w:cstheme="minorHAnsi"/>
          <w:sz w:val="24"/>
          <w:szCs w:val="24"/>
        </w:rPr>
      </w:pPr>
      <w:r w:rsidRPr="003242D6">
        <w:rPr>
          <w:rFonts w:cstheme="minorHAnsi"/>
          <w:sz w:val="24"/>
          <w:szCs w:val="24"/>
        </w:rPr>
        <w:t xml:space="preserve">2019-20 LGD spend was </w:t>
      </w:r>
      <w:r w:rsidRPr="003242D6">
        <w:rPr>
          <w:rFonts w:cstheme="minorHAnsi"/>
          <w:b/>
          <w:bCs/>
          <w:sz w:val="24"/>
          <w:szCs w:val="24"/>
        </w:rPr>
        <w:t>£0.9</w:t>
      </w:r>
      <w:r w:rsidR="00D04F21" w:rsidRPr="003242D6">
        <w:rPr>
          <w:rFonts w:cstheme="minorHAnsi"/>
          <w:b/>
          <w:bCs/>
          <w:sz w:val="24"/>
          <w:szCs w:val="24"/>
        </w:rPr>
        <w:t>07</w:t>
      </w:r>
      <w:r w:rsidRPr="003242D6">
        <w:rPr>
          <w:rFonts w:cstheme="minorHAnsi"/>
          <w:b/>
          <w:bCs/>
          <w:sz w:val="24"/>
          <w:szCs w:val="24"/>
        </w:rPr>
        <w:t>m</w:t>
      </w:r>
      <w:r w:rsidR="00D04F21" w:rsidRPr="003242D6">
        <w:rPr>
          <w:rFonts w:cstheme="minorHAnsi"/>
          <w:sz w:val="24"/>
          <w:szCs w:val="24"/>
        </w:rPr>
        <w:t xml:space="preserve"> net</w:t>
      </w:r>
      <w:r w:rsidRPr="003242D6">
        <w:rPr>
          <w:rFonts w:cstheme="minorHAnsi"/>
          <w:sz w:val="24"/>
          <w:szCs w:val="24"/>
        </w:rPr>
        <w:t xml:space="preserve"> in total</w:t>
      </w:r>
      <w:r w:rsidR="0072672A" w:rsidRPr="003242D6">
        <w:rPr>
          <w:rFonts w:cstheme="minorHAnsi"/>
          <w:sz w:val="24"/>
          <w:szCs w:val="24"/>
        </w:rPr>
        <w:t xml:space="preserve"> – </w:t>
      </w:r>
      <w:r w:rsidR="0072672A" w:rsidRPr="003242D6">
        <w:rPr>
          <w:rFonts w:cstheme="minorHAnsi"/>
          <w:b/>
          <w:bCs/>
          <w:i/>
          <w:iCs/>
          <w:sz w:val="24"/>
          <w:szCs w:val="24"/>
        </w:rPr>
        <w:t>14%</w:t>
      </w:r>
      <w:r w:rsidR="0072672A" w:rsidRPr="003242D6">
        <w:rPr>
          <w:rFonts w:cstheme="minorHAnsi"/>
          <w:sz w:val="24"/>
          <w:szCs w:val="24"/>
        </w:rPr>
        <w:t xml:space="preserve"> of the </w:t>
      </w:r>
      <w:r w:rsidR="0072672A" w:rsidRPr="003242D6">
        <w:rPr>
          <w:rFonts w:cstheme="minorHAnsi"/>
          <w:b/>
          <w:bCs/>
          <w:sz w:val="24"/>
          <w:szCs w:val="24"/>
        </w:rPr>
        <w:t>£6.37m</w:t>
      </w:r>
      <w:r w:rsidR="0072672A" w:rsidRPr="003242D6">
        <w:rPr>
          <w:rFonts w:cstheme="minorHAnsi"/>
          <w:sz w:val="24"/>
          <w:szCs w:val="24"/>
        </w:rPr>
        <w:t xml:space="preserve"> LGF Grant funding</w:t>
      </w:r>
      <w:r w:rsidR="009A35F9" w:rsidRPr="003242D6">
        <w:rPr>
          <w:rFonts w:cstheme="minorHAnsi"/>
          <w:sz w:val="24"/>
          <w:szCs w:val="24"/>
        </w:rPr>
        <w:t xml:space="preserve"> for the year</w:t>
      </w:r>
      <w:r w:rsidR="004F5F62" w:rsidRPr="003242D6">
        <w:rPr>
          <w:rFonts w:cstheme="minorHAnsi"/>
          <w:sz w:val="24"/>
          <w:szCs w:val="24"/>
        </w:rPr>
        <w:t>, the balance being carried forward</w:t>
      </w:r>
      <w:r w:rsidR="0072672A" w:rsidRPr="003242D6">
        <w:rPr>
          <w:rFonts w:cstheme="minorHAnsi"/>
          <w:sz w:val="24"/>
          <w:szCs w:val="24"/>
        </w:rPr>
        <w:t>.</w:t>
      </w:r>
    </w:p>
    <w:p w14:paraId="58CCB000" w14:textId="0202BB9E" w:rsidR="00D04F21" w:rsidRPr="003242D6" w:rsidRDefault="004F5F62" w:rsidP="008C0074">
      <w:pPr>
        <w:pStyle w:val="ListParagraph"/>
        <w:numPr>
          <w:ilvl w:val="0"/>
          <w:numId w:val="1"/>
        </w:numPr>
        <w:jc w:val="both"/>
        <w:rPr>
          <w:rFonts w:cstheme="minorHAnsi"/>
          <w:sz w:val="24"/>
          <w:szCs w:val="24"/>
        </w:rPr>
      </w:pPr>
      <w:r w:rsidRPr="003242D6">
        <w:rPr>
          <w:rFonts w:cstheme="minorHAnsi"/>
          <w:sz w:val="24"/>
          <w:szCs w:val="24"/>
        </w:rPr>
        <w:t>T</w:t>
      </w:r>
      <w:r w:rsidR="00D04F21" w:rsidRPr="003242D6">
        <w:rPr>
          <w:rFonts w:cstheme="minorHAnsi"/>
          <w:sz w:val="24"/>
          <w:szCs w:val="24"/>
        </w:rPr>
        <w:t xml:space="preserve">here </w:t>
      </w:r>
      <w:r w:rsidR="009A35F9" w:rsidRPr="003242D6">
        <w:rPr>
          <w:rFonts w:cstheme="minorHAnsi"/>
          <w:sz w:val="24"/>
          <w:szCs w:val="24"/>
        </w:rPr>
        <w:t xml:space="preserve">currently </w:t>
      </w:r>
      <w:r w:rsidR="00D04F21" w:rsidRPr="003242D6">
        <w:rPr>
          <w:rFonts w:cstheme="minorHAnsi"/>
          <w:sz w:val="24"/>
          <w:szCs w:val="24"/>
        </w:rPr>
        <w:t xml:space="preserve">remains </w:t>
      </w:r>
      <w:r w:rsidR="00D04F21" w:rsidRPr="003242D6">
        <w:rPr>
          <w:rFonts w:cstheme="minorHAnsi"/>
          <w:b/>
          <w:bCs/>
          <w:sz w:val="24"/>
          <w:szCs w:val="24"/>
        </w:rPr>
        <w:t>£0.384m</w:t>
      </w:r>
      <w:r w:rsidR="00D04F21" w:rsidRPr="003242D6">
        <w:rPr>
          <w:rFonts w:cstheme="minorHAnsi"/>
          <w:sz w:val="24"/>
          <w:szCs w:val="24"/>
        </w:rPr>
        <w:t xml:space="preserve"> of LGF Grant funding </w:t>
      </w:r>
      <w:r w:rsidR="00D04F21" w:rsidRPr="003242D6">
        <w:rPr>
          <w:rFonts w:cstheme="minorHAnsi"/>
          <w:sz w:val="24"/>
          <w:szCs w:val="24"/>
          <w:u w:val="single"/>
        </w:rPr>
        <w:t>unallocated</w:t>
      </w:r>
      <w:r w:rsidR="00D04F21" w:rsidRPr="003242D6">
        <w:rPr>
          <w:rFonts w:cstheme="minorHAnsi"/>
          <w:sz w:val="24"/>
          <w:szCs w:val="24"/>
        </w:rPr>
        <w:t>.</w:t>
      </w:r>
    </w:p>
    <w:p w14:paraId="1235B1C2" w14:textId="3DE4605C" w:rsidR="00D04F21" w:rsidRPr="003242D6" w:rsidRDefault="001213F6" w:rsidP="008C0074">
      <w:pPr>
        <w:pStyle w:val="ListParagraph"/>
        <w:numPr>
          <w:ilvl w:val="0"/>
          <w:numId w:val="1"/>
        </w:numPr>
        <w:jc w:val="both"/>
        <w:rPr>
          <w:rFonts w:cstheme="minorHAnsi"/>
          <w:sz w:val="24"/>
          <w:szCs w:val="24"/>
        </w:rPr>
      </w:pPr>
      <w:r w:rsidRPr="003242D6">
        <w:rPr>
          <w:rFonts w:cstheme="minorHAnsi"/>
          <w:sz w:val="24"/>
          <w:szCs w:val="24"/>
        </w:rPr>
        <w:t>As at the 31</w:t>
      </w:r>
      <w:r w:rsidRPr="003242D6">
        <w:rPr>
          <w:rFonts w:cstheme="minorHAnsi"/>
          <w:sz w:val="24"/>
          <w:szCs w:val="24"/>
          <w:vertAlign w:val="superscript"/>
        </w:rPr>
        <w:t>st</w:t>
      </w:r>
      <w:r w:rsidRPr="003242D6">
        <w:rPr>
          <w:rFonts w:cstheme="minorHAnsi"/>
          <w:sz w:val="24"/>
          <w:szCs w:val="24"/>
        </w:rPr>
        <w:t xml:space="preserve"> March 2020, </w:t>
      </w:r>
      <w:r w:rsidRPr="003242D6">
        <w:rPr>
          <w:rFonts w:cstheme="minorHAnsi"/>
          <w:b/>
          <w:bCs/>
          <w:i/>
          <w:iCs/>
          <w:sz w:val="24"/>
          <w:szCs w:val="24"/>
        </w:rPr>
        <w:t>97.2%</w:t>
      </w:r>
      <w:r w:rsidRPr="003242D6">
        <w:rPr>
          <w:rFonts w:cstheme="minorHAnsi"/>
          <w:sz w:val="24"/>
          <w:szCs w:val="24"/>
        </w:rPr>
        <w:t xml:space="preserve"> of the </w:t>
      </w:r>
      <w:r w:rsidRPr="003242D6">
        <w:rPr>
          <w:rFonts w:cstheme="minorHAnsi"/>
          <w:b/>
          <w:bCs/>
          <w:sz w:val="24"/>
          <w:szCs w:val="24"/>
        </w:rPr>
        <w:t>£98.3m</w:t>
      </w:r>
      <w:r w:rsidRPr="003242D6">
        <w:rPr>
          <w:rFonts w:cstheme="minorHAnsi"/>
          <w:sz w:val="24"/>
          <w:szCs w:val="24"/>
        </w:rPr>
        <w:t xml:space="preserve"> total LGD funding has been </w:t>
      </w:r>
      <w:r w:rsidR="004F5F62" w:rsidRPr="003242D6">
        <w:rPr>
          <w:rFonts w:cstheme="minorHAnsi"/>
          <w:sz w:val="24"/>
          <w:szCs w:val="24"/>
        </w:rPr>
        <w:t xml:space="preserve">contractually </w:t>
      </w:r>
      <w:r w:rsidRPr="003242D6">
        <w:rPr>
          <w:rFonts w:cstheme="minorHAnsi"/>
          <w:sz w:val="24"/>
          <w:szCs w:val="24"/>
        </w:rPr>
        <w:t>committed.</w:t>
      </w:r>
    </w:p>
    <w:p w14:paraId="0DD0AA5D" w14:textId="217DCE9C" w:rsidR="00F73119" w:rsidRPr="003242D6" w:rsidRDefault="00CD672F" w:rsidP="008C0074">
      <w:pPr>
        <w:pStyle w:val="ListParagraph"/>
        <w:numPr>
          <w:ilvl w:val="0"/>
          <w:numId w:val="1"/>
        </w:numPr>
        <w:jc w:val="both"/>
        <w:rPr>
          <w:rFonts w:cstheme="minorHAnsi"/>
          <w:sz w:val="24"/>
          <w:szCs w:val="24"/>
        </w:rPr>
      </w:pPr>
      <w:r w:rsidRPr="003242D6">
        <w:rPr>
          <w:rFonts w:cstheme="minorHAnsi"/>
          <w:sz w:val="24"/>
          <w:szCs w:val="24"/>
        </w:rPr>
        <w:t>At the 31</w:t>
      </w:r>
      <w:r w:rsidRPr="003242D6">
        <w:rPr>
          <w:rFonts w:cstheme="minorHAnsi"/>
          <w:sz w:val="24"/>
          <w:szCs w:val="24"/>
          <w:vertAlign w:val="superscript"/>
        </w:rPr>
        <w:t>st</w:t>
      </w:r>
      <w:r w:rsidRPr="003242D6">
        <w:rPr>
          <w:rFonts w:cstheme="minorHAnsi"/>
          <w:sz w:val="24"/>
          <w:szCs w:val="24"/>
        </w:rPr>
        <w:t xml:space="preserve"> March 2020, there were </w:t>
      </w:r>
      <w:r w:rsidRPr="003242D6">
        <w:rPr>
          <w:rFonts w:cstheme="minorHAnsi"/>
          <w:b/>
          <w:bCs/>
          <w:sz w:val="24"/>
          <w:szCs w:val="24"/>
        </w:rPr>
        <w:t>8</w:t>
      </w:r>
      <w:r w:rsidRPr="003242D6">
        <w:rPr>
          <w:rFonts w:cstheme="minorHAnsi"/>
          <w:sz w:val="24"/>
          <w:szCs w:val="24"/>
        </w:rPr>
        <w:t xml:space="preserve"> LGD contracts still outstanding</w:t>
      </w:r>
      <w:r w:rsidR="004F5F62" w:rsidRPr="003242D6">
        <w:rPr>
          <w:rFonts w:cstheme="minorHAnsi"/>
          <w:sz w:val="24"/>
          <w:szCs w:val="24"/>
        </w:rPr>
        <w:t>,</w:t>
      </w:r>
      <w:r w:rsidRPr="003242D6">
        <w:rPr>
          <w:rFonts w:cstheme="minorHAnsi"/>
          <w:sz w:val="24"/>
          <w:szCs w:val="24"/>
        </w:rPr>
        <w:t xml:space="preserve"> </w:t>
      </w:r>
      <w:r w:rsidRPr="003242D6">
        <w:rPr>
          <w:rFonts w:cstheme="minorHAnsi"/>
          <w:b/>
          <w:bCs/>
          <w:sz w:val="24"/>
          <w:szCs w:val="24"/>
        </w:rPr>
        <w:t>3</w:t>
      </w:r>
      <w:r w:rsidRPr="003242D6">
        <w:rPr>
          <w:rFonts w:cstheme="minorHAnsi"/>
          <w:sz w:val="24"/>
          <w:szCs w:val="24"/>
        </w:rPr>
        <w:t xml:space="preserve"> of which have since been signed, leaving </w:t>
      </w:r>
      <w:r w:rsidRPr="003242D6">
        <w:rPr>
          <w:rFonts w:cstheme="minorHAnsi"/>
          <w:b/>
          <w:bCs/>
          <w:sz w:val="24"/>
          <w:szCs w:val="24"/>
        </w:rPr>
        <w:t>5</w:t>
      </w:r>
      <w:r w:rsidR="0072672A" w:rsidRPr="003242D6">
        <w:rPr>
          <w:rFonts w:cstheme="minorHAnsi"/>
          <w:sz w:val="24"/>
          <w:szCs w:val="24"/>
        </w:rPr>
        <w:t xml:space="preserve"> remaining. </w:t>
      </w:r>
      <w:r w:rsidR="004F5F62" w:rsidRPr="003242D6">
        <w:rPr>
          <w:rFonts w:cstheme="minorHAnsi"/>
          <w:sz w:val="24"/>
          <w:szCs w:val="24"/>
        </w:rPr>
        <w:t>It</w:t>
      </w:r>
      <w:r w:rsidR="0072672A" w:rsidRPr="003242D6">
        <w:rPr>
          <w:rFonts w:cstheme="minorHAnsi"/>
          <w:sz w:val="24"/>
          <w:szCs w:val="24"/>
        </w:rPr>
        <w:t xml:space="preserve"> is</w:t>
      </w:r>
      <w:r w:rsidR="004F5F62" w:rsidRPr="003242D6">
        <w:rPr>
          <w:rFonts w:cstheme="minorHAnsi"/>
          <w:sz w:val="24"/>
          <w:szCs w:val="24"/>
        </w:rPr>
        <w:t xml:space="preserve"> a</w:t>
      </w:r>
      <w:r w:rsidR="0072672A" w:rsidRPr="003242D6">
        <w:rPr>
          <w:rFonts w:cstheme="minorHAnsi"/>
          <w:sz w:val="24"/>
          <w:szCs w:val="24"/>
        </w:rPr>
        <w:t xml:space="preserve"> priority to get these </w:t>
      </w:r>
      <w:r w:rsidR="004F5F62" w:rsidRPr="003242D6">
        <w:rPr>
          <w:rFonts w:cstheme="minorHAnsi"/>
          <w:sz w:val="24"/>
          <w:szCs w:val="24"/>
        </w:rPr>
        <w:t xml:space="preserve">remaining </w:t>
      </w:r>
      <w:r w:rsidR="0072672A" w:rsidRPr="003242D6">
        <w:rPr>
          <w:rFonts w:cstheme="minorHAnsi"/>
          <w:sz w:val="24"/>
          <w:szCs w:val="24"/>
        </w:rPr>
        <w:t>Funding Agreements in place as soon as possible.</w:t>
      </w:r>
    </w:p>
    <w:p w14:paraId="69ABE6AE" w14:textId="2908AFA9" w:rsidR="001213F6" w:rsidRPr="003242D6" w:rsidRDefault="001213F6" w:rsidP="008C0074">
      <w:pPr>
        <w:pStyle w:val="ListParagraph"/>
        <w:numPr>
          <w:ilvl w:val="0"/>
          <w:numId w:val="1"/>
        </w:numPr>
        <w:jc w:val="both"/>
        <w:rPr>
          <w:rFonts w:cstheme="minorHAnsi"/>
          <w:sz w:val="24"/>
          <w:szCs w:val="24"/>
        </w:rPr>
      </w:pPr>
      <w:r w:rsidRPr="003242D6">
        <w:rPr>
          <w:rFonts w:cstheme="minorHAnsi"/>
          <w:sz w:val="24"/>
          <w:szCs w:val="24"/>
        </w:rPr>
        <w:t xml:space="preserve">Overall, LGD has an </w:t>
      </w:r>
      <w:r w:rsidRPr="003242D6">
        <w:rPr>
          <w:rFonts w:cstheme="minorHAnsi"/>
          <w:b/>
          <w:bCs/>
          <w:sz w:val="24"/>
          <w:szCs w:val="24"/>
          <w:u w:val="single"/>
        </w:rPr>
        <w:t>AMBER</w:t>
      </w:r>
      <w:r w:rsidRPr="003242D6">
        <w:rPr>
          <w:rFonts w:cstheme="minorHAnsi"/>
          <w:sz w:val="24"/>
          <w:szCs w:val="24"/>
        </w:rPr>
        <w:t xml:space="preserve"> </w:t>
      </w:r>
      <w:r w:rsidR="005147EA" w:rsidRPr="003242D6">
        <w:rPr>
          <w:rFonts w:cstheme="minorHAnsi"/>
          <w:sz w:val="24"/>
          <w:szCs w:val="24"/>
        </w:rPr>
        <w:t>R</w:t>
      </w:r>
      <w:r w:rsidRPr="003242D6">
        <w:rPr>
          <w:rFonts w:cstheme="minorHAnsi"/>
          <w:sz w:val="24"/>
          <w:szCs w:val="24"/>
        </w:rPr>
        <w:t xml:space="preserve">ag </w:t>
      </w:r>
      <w:r w:rsidR="005147EA" w:rsidRPr="003242D6">
        <w:rPr>
          <w:rFonts w:cstheme="minorHAnsi"/>
          <w:sz w:val="24"/>
          <w:szCs w:val="24"/>
        </w:rPr>
        <w:t>R</w:t>
      </w:r>
      <w:r w:rsidRPr="003242D6">
        <w:rPr>
          <w:rFonts w:cstheme="minorHAnsi"/>
          <w:sz w:val="24"/>
          <w:szCs w:val="24"/>
        </w:rPr>
        <w:t xml:space="preserve">ating due to the on-going delays in getting the remaining Funding Agreements in place which may lead to failure to deliver </w:t>
      </w:r>
      <w:r w:rsidR="005147EA" w:rsidRPr="003242D6">
        <w:rPr>
          <w:rFonts w:cstheme="minorHAnsi"/>
          <w:sz w:val="24"/>
          <w:szCs w:val="24"/>
        </w:rPr>
        <w:t xml:space="preserve">all schemes </w:t>
      </w:r>
      <w:r w:rsidRPr="003242D6">
        <w:rPr>
          <w:rFonts w:cstheme="minorHAnsi"/>
          <w:sz w:val="24"/>
          <w:szCs w:val="24"/>
        </w:rPr>
        <w:t>by the 31</w:t>
      </w:r>
      <w:r w:rsidRPr="003242D6">
        <w:rPr>
          <w:rFonts w:cstheme="minorHAnsi"/>
          <w:sz w:val="24"/>
          <w:szCs w:val="24"/>
          <w:vertAlign w:val="superscript"/>
        </w:rPr>
        <w:t>st</w:t>
      </w:r>
      <w:r w:rsidRPr="003242D6">
        <w:rPr>
          <w:rFonts w:cstheme="minorHAnsi"/>
          <w:sz w:val="24"/>
          <w:szCs w:val="24"/>
        </w:rPr>
        <w:t xml:space="preserve"> March deadline</w:t>
      </w:r>
      <w:r w:rsidR="005147EA" w:rsidRPr="003242D6">
        <w:rPr>
          <w:rFonts w:cstheme="minorHAnsi"/>
          <w:sz w:val="24"/>
          <w:szCs w:val="24"/>
        </w:rPr>
        <w:t xml:space="preserve"> – the </w:t>
      </w:r>
      <w:r w:rsidRPr="003242D6">
        <w:rPr>
          <w:rFonts w:cstheme="minorHAnsi"/>
          <w:sz w:val="24"/>
          <w:szCs w:val="24"/>
        </w:rPr>
        <w:t xml:space="preserve">final year of the </w:t>
      </w:r>
      <w:r w:rsidR="005147EA" w:rsidRPr="003242D6">
        <w:rPr>
          <w:rFonts w:cstheme="minorHAnsi"/>
          <w:sz w:val="24"/>
          <w:szCs w:val="24"/>
        </w:rPr>
        <w:t xml:space="preserve">current </w:t>
      </w:r>
      <w:proofErr w:type="gramStart"/>
      <w:r w:rsidR="005147EA" w:rsidRPr="003242D6">
        <w:rPr>
          <w:rFonts w:cstheme="minorHAnsi"/>
          <w:sz w:val="24"/>
          <w:szCs w:val="24"/>
        </w:rPr>
        <w:t>6 year</w:t>
      </w:r>
      <w:proofErr w:type="gramEnd"/>
      <w:r w:rsidR="005147EA" w:rsidRPr="003242D6">
        <w:rPr>
          <w:rFonts w:cstheme="minorHAnsi"/>
          <w:sz w:val="24"/>
          <w:szCs w:val="24"/>
        </w:rPr>
        <w:t xml:space="preserve"> </w:t>
      </w:r>
      <w:r w:rsidRPr="003242D6">
        <w:rPr>
          <w:rFonts w:cstheme="minorHAnsi"/>
          <w:sz w:val="24"/>
          <w:szCs w:val="24"/>
        </w:rPr>
        <w:t>LGD Programme.</w:t>
      </w:r>
    </w:p>
    <w:p w14:paraId="215A6EE0" w14:textId="77777777" w:rsidR="00D04F21" w:rsidRPr="003242D6" w:rsidRDefault="00D04F21" w:rsidP="008C0074">
      <w:pPr>
        <w:pStyle w:val="ListParagraph"/>
        <w:jc w:val="both"/>
        <w:rPr>
          <w:rFonts w:cstheme="minorHAnsi"/>
          <w:sz w:val="24"/>
          <w:szCs w:val="24"/>
        </w:rPr>
      </w:pPr>
    </w:p>
    <w:p w14:paraId="4BE619E5" w14:textId="77777777" w:rsidR="00F73119" w:rsidRPr="003242D6" w:rsidRDefault="00F73119" w:rsidP="008C0074">
      <w:pPr>
        <w:jc w:val="both"/>
        <w:rPr>
          <w:rFonts w:cstheme="minorHAnsi"/>
          <w:b/>
          <w:bCs/>
          <w:sz w:val="24"/>
          <w:szCs w:val="24"/>
          <w:u w:val="single"/>
        </w:rPr>
      </w:pPr>
      <w:r w:rsidRPr="003242D6">
        <w:rPr>
          <w:rFonts w:cstheme="minorHAnsi"/>
          <w:b/>
          <w:bCs/>
          <w:sz w:val="24"/>
          <w:szCs w:val="24"/>
          <w:u w:val="single"/>
        </w:rPr>
        <w:t>City Deal</w:t>
      </w:r>
    </w:p>
    <w:p w14:paraId="393B4B3F" w14:textId="01065271" w:rsidR="00754D8C" w:rsidRPr="003242D6" w:rsidRDefault="009C395E" w:rsidP="00754D8C">
      <w:pPr>
        <w:jc w:val="both"/>
        <w:rPr>
          <w:rFonts w:cstheme="minorHAnsi"/>
          <w:b/>
          <w:bCs/>
          <w:sz w:val="24"/>
          <w:szCs w:val="24"/>
        </w:rPr>
      </w:pPr>
      <w:r w:rsidRPr="003242D6">
        <w:rPr>
          <w:rFonts w:cstheme="minorHAnsi"/>
          <w:b/>
          <w:bCs/>
          <w:sz w:val="24"/>
          <w:szCs w:val="24"/>
        </w:rPr>
        <w:t xml:space="preserve">SoTCC is the Accountable Body for the </w:t>
      </w:r>
      <w:r w:rsidR="00754D8C" w:rsidRPr="003242D6">
        <w:rPr>
          <w:rFonts w:cstheme="minorHAnsi"/>
          <w:b/>
          <w:bCs/>
          <w:sz w:val="24"/>
          <w:szCs w:val="24"/>
        </w:rPr>
        <w:t xml:space="preserve">City Deal </w:t>
      </w:r>
      <w:r w:rsidRPr="003242D6">
        <w:rPr>
          <w:rFonts w:cstheme="minorHAnsi"/>
          <w:b/>
          <w:bCs/>
          <w:sz w:val="24"/>
          <w:szCs w:val="24"/>
        </w:rPr>
        <w:t xml:space="preserve">Programme. Only 2 schemes remain </w:t>
      </w:r>
      <w:r w:rsidR="00E963DF" w:rsidRPr="003242D6">
        <w:rPr>
          <w:rFonts w:cstheme="minorHAnsi"/>
          <w:b/>
          <w:bCs/>
          <w:sz w:val="24"/>
          <w:szCs w:val="24"/>
        </w:rPr>
        <w:t>f</w:t>
      </w:r>
      <w:r w:rsidR="00754D8C" w:rsidRPr="003242D6">
        <w:rPr>
          <w:rFonts w:cstheme="minorHAnsi"/>
          <w:b/>
          <w:bCs/>
          <w:sz w:val="24"/>
          <w:szCs w:val="24"/>
        </w:rPr>
        <w:t>und</w:t>
      </w:r>
      <w:r w:rsidR="00E963DF" w:rsidRPr="003242D6">
        <w:rPr>
          <w:rFonts w:cstheme="minorHAnsi"/>
          <w:b/>
          <w:bCs/>
          <w:sz w:val="24"/>
          <w:szCs w:val="24"/>
        </w:rPr>
        <w:t>ed</w:t>
      </w:r>
      <w:r w:rsidR="00754D8C" w:rsidRPr="003242D6">
        <w:rPr>
          <w:rFonts w:cstheme="minorHAnsi"/>
          <w:b/>
          <w:bCs/>
          <w:sz w:val="24"/>
          <w:szCs w:val="24"/>
        </w:rPr>
        <w:t xml:space="preserve"> </w:t>
      </w:r>
      <w:r w:rsidRPr="003242D6">
        <w:rPr>
          <w:rFonts w:cstheme="minorHAnsi"/>
          <w:b/>
          <w:bCs/>
          <w:sz w:val="24"/>
          <w:szCs w:val="24"/>
        </w:rPr>
        <w:t xml:space="preserve">– DHN &amp; Keele SEND – which are </w:t>
      </w:r>
      <w:r w:rsidR="00E963DF" w:rsidRPr="003242D6">
        <w:rPr>
          <w:rFonts w:cstheme="minorHAnsi"/>
          <w:b/>
          <w:bCs/>
          <w:sz w:val="24"/>
          <w:szCs w:val="24"/>
        </w:rPr>
        <w:t xml:space="preserve">both </w:t>
      </w:r>
      <w:r w:rsidRPr="003242D6">
        <w:rPr>
          <w:rFonts w:cstheme="minorHAnsi"/>
          <w:b/>
          <w:bCs/>
          <w:sz w:val="24"/>
          <w:szCs w:val="24"/>
        </w:rPr>
        <w:t xml:space="preserve">due to be completed </w:t>
      </w:r>
      <w:r w:rsidR="00E963DF" w:rsidRPr="003242D6">
        <w:rPr>
          <w:rFonts w:cstheme="minorHAnsi"/>
          <w:b/>
          <w:bCs/>
          <w:sz w:val="24"/>
          <w:szCs w:val="24"/>
        </w:rPr>
        <w:t>by</w:t>
      </w:r>
      <w:r w:rsidRPr="003242D6">
        <w:rPr>
          <w:rFonts w:cstheme="minorHAnsi"/>
          <w:b/>
          <w:bCs/>
          <w:sz w:val="24"/>
          <w:szCs w:val="24"/>
        </w:rPr>
        <w:t xml:space="preserve"> 20</w:t>
      </w:r>
      <w:r w:rsidR="00E963DF" w:rsidRPr="003242D6">
        <w:rPr>
          <w:rFonts w:cstheme="minorHAnsi"/>
          <w:b/>
          <w:bCs/>
          <w:sz w:val="24"/>
          <w:szCs w:val="24"/>
        </w:rPr>
        <w:t>20</w:t>
      </w:r>
      <w:r w:rsidRPr="003242D6">
        <w:rPr>
          <w:rFonts w:cstheme="minorHAnsi"/>
          <w:b/>
          <w:bCs/>
          <w:sz w:val="24"/>
          <w:szCs w:val="24"/>
        </w:rPr>
        <w:t>-21. City Deal funding is paid by the AB to the approved Investment Programme and then</w:t>
      </w:r>
      <w:r w:rsidR="00E963DF" w:rsidRPr="003242D6">
        <w:rPr>
          <w:rFonts w:cstheme="minorHAnsi"/>
          <w:b/>
          <w:bCs/>
          <w:sz w:val="24"/>
          <w:szCs w:val="24"/>
        </w:rPr>
        <w:t xml:space="preserve"> is</w:t>
      </w:r>
      <w:r w:rsidRPr="003242D6">
        <w:rPr>
          <w:rFonts w:cstheme="minorHAnsi"/>
          <w:b/>
          <w:bCs/>
          <w:sz w:val="24"/>
          <w:szCs w:val="24"/>
        </w:rPr>
        <w:t xml:space="preserve"> reimbursed to the local authority by Government. </w:t>
      </w:r>
    </w:p>
    <w:p w14:paraId="1AB42474" w14:textId="793D2181" w:rsidR="00F73119" w:rsidRPr="003242D6" w:rsidRDefault="0072672A" w:rsidP="008C0074">
      <w:pPr>
        <w:pStyle w:val="ListParagraph"/>
        <w:numPr>
          <w:ilvl w:val="0"/>
          <w:numId w:val="1"/>
        </w:numPr>
        <w:jc w:val="both"/>
        <w:rPr>
          <w:rFonts w:cstheme="minorHAnsi"/>
          <w:sz w:val="24"/>
          <w:szCs w:val="24"/>
        </w:rPr>
      </w:pPr>
      <w:r w:rsidRPr="003242D6">
        <w:rPr>
          <w:rFonts w:cstheme="minorHAnsi"/>
          <w:sz w:val="24"/>
          <w:szCs w:val="24"/>
        </w:rPr>
        <w:t xml:space="preserve">Keele SEND </w:t>
      </w:r>
      <w:r w:rsidR="001213F6" w:rsidRPr="003242D6">
        <w:rPr>
          <w:rFonts w:cstheme="minorHAnsi"/>
          <w:sz w:val="24"/>
          <w:szCs w:val="24"/>
        </w:rPr>
        <w:t xml:space="preserve">scheme </w:t>
      </w:r>
      <w:r w:rsidRPr="003242D6">
        <w:rPr>
          <w:rFonts w:cstheme="minorHAnsi"/>
          <w:sz w:val="24"/>
          <w:szCs w:val="24"/>
        </w:rPr>
        <w:t xml:space="preserve">has </w:t>
      </w:r>
      <w:r w:rsidR="001213F6" w:rsidRPr="003242D6">
        <w:rPr>
          <w:rFonts w:cstheme="minorHAnsi"/>
          <w:sz w:val="24"/>
          <w:szCs w:val="24"/>
        </w:rPr>
        <w:t xml:space="preserve">now </w:t>
      </w:r>
      <w:r w:rsidRPr="003242D6">
        <w:rPr>
          <w:rFonts w:cstheme="minorHAnsi"/>
          <w:sz w:val="24"/>
          <w:szCs w:val="24"/>
        </w:rPr>
        <w:t xml:space="preserve">fully </w:t>
      </w:r>
      <w:r w:rsidR="001213F6" w:rsidRPr="003242D6">
        <w:rPr>
          <w:rFonts w:cstheme="minorHAnsi"/>
          <w:sz w:val="24"/>
          <w:szCs w:val="24"/>
        </w:rPr>
        <w:t>spent its City Deal funding.</w:t>
      </w:r>
      <w:r w:rsidRPr="003242D6">
        <w:rPr>
          <w:rFonts w:cstheme="minorHAnsi"/>
          <w:sz w:val="24"/>
          <w:szCs w:val="24"/>
        </w:rPr>
        <w:t xml:space="preserve"> </w:t>
      </w:r>
    </w:p>
    <w:p w14:paraId="10DA7781" w14:textId="2389258E" w:rsidR="0072672A" w:rsidRPr="003242D6" w:rsidRDefault="0072672A" w:rsidP="008C0074">
      <w:pPr>
        <w:pStyle w:val="ListParagraph"/>
        <w:numPr>
          <w:ilvl w:val="0"/>
          <w:numId w:val="1"/>
        </w:numPr>
        <w:jc w:val="both"/>
        <w:rPr>
          <w:rFonts w:cstheme="minorHAnsi"/>
          <w:sz w:val="24"/>
          <w:szCs w:val="24"/>
        </w:rPr>
      </w:pPr>
      <w:r w:rsidRPr="003242D6">
        <w:rPr>
          <w:rFonts w:cstheme="minorHAnsi"/>
          <w:sz w:val="24"/>
          <w:szCs w:val="24"/>
        </w:rPr>
        <w:t xml:space="preserve">Stoke on Trent District Heat Network spent </w:t>
      </w:r>
      <w:r w:rsidRPr="003242D6">
        <w:rPr>
          <w:rFonts w:cstheme="minorHAnsi"/>
          <w:b/>
          <w:bCs/>
          <w:sz w:val="24"/>
          <w:szCs w:val="24"/>
        </w:rPr>
        <w:t>£</w:t>
      </w:r>
      <w:r w:rsidR="005147EA" w:rsidRPr="003242D6">
        <w:rPr>
          <w:rFonts w:cstheme="minorHAnsi"/>
          <w:b/>
          <w:bCs/>
          <w:sz w:val="24"/>
          <w:szCs w:val="24"/>
        </w:rPr>
        <w:t>2.667m</w:t>
      </w:r>
      <w:r w:rsidRPr="003242D6">
        <w:rPr>
          <w:rFonts w:cstheme="minorHAnsi"/>
          <w:sz w:val="24"/>
          <w:szCs w:val="24"/>
        </w:rPr>
        <w:t xml:space="preserve"> of its </w:t>
      </w:r>
      <w:r w:rsidR="005147EA" w:rsidRPr="003242D6">
        <w:rPr>
          <w:rFonts w:cstheme="minorHAnsi"/>
          <w:sz w:val="24"/>
          <w:szCs w:val="24"/>
        </w:rPr>
        <w:t xml:space="preserve">2019-20 </w:t>
      </w:r>
      <w:r w:rsidRPr="003242D6">
        <w:rPr>
          <w:rFonts w:cstheme="minorHAnsi"/>
          <w:sz w:val="24"/>
          <w:szCs w:val="24"/>
        </w:rPr>
        <w:t xml:space="preserve">City Deal allocation. Carrying forward </w:t>
      </w:r>
      <w:r w:rsidRPr="003242D6">
        <w:rPr>
          <w:rFonts w:cstheme="minorHAnsi"/>
          <w:b/>
          <w:bCs/>
          <w:sz w:val="24"/>
          <w:szCs w:val="24"/>
        </w:rPr>
        <w:t>£</w:t>
      </w:r>
      <w:r w:rsidR="005147EA" w:rsidRPr="003242D6">
        <w:rPr>
          <w:rFonts w:cstheme="minorHAnsi"/>
          <w:b/>
          <w:bCs/>
          <w:sz w:val="24"/>
          <w:szCs w:val="24"/>
        </w:rPr>
        <w:t>0.856m</w:t>
      </w:r>
      <w:r w:rsidRPr="003242D6">
        <w:rPr>
          <w:rFonts w:cstheme="minorHAnsi"/>
          <w:sz w:val="24"/>
          <w:szCs w:val="24"/>
        </w:rPr>
        <w:t xml:space="preserve"> to 2020-21. The DHN is </w:t>
      </w:r>
      <w:r w:rsidRPr="003242D6">
        <w:rPr>
          <w:rFonts w:cstheme="minorHAnsi"/>
          <w:sz w:val="24"/>
          <w:szCs w:val="24"/>
          <w:u w:val="single"/>
        </w:rPr>
        <w:t>expected</w:t>
      </w:r>
      <w:r w:rsidRPr="003242D6">
        <w:rPr>
          <w:rFonts w:cstheme="minorHAnsi"/>
          <w:sz w:val="24"/>
          <w:szCs w:val="24"/>
        </w:rPr>
        <w:t xml:space="preserve"> to fully spend its remaining </w:t>
      </w:r>
      <w:r w:rsidRPr="003242D6">
        <w:rPr>
          <w:rFonts w:cstheme="minorHAnsi"/>
          <w:b/>
          <w:bCs/>
          <w:sz w:val="24"/>
          <w:szCs w:val="24"/>
        </w:rPr>
        <w:t>£</w:t>
      </w:r>
      <w:r w:rsidR="005147EA" w:rsidRPr="003242D6">
        <w:rPr>
          <w:rFonts w:cstheme="minorHAnsi"/>
          <w:b/>
          <w:bCs/>
          <w:sz w:val="24"/>
          <w:szCs w:val="24"/>
        </w:rPr>
        <w:t>6.150m</w:t>
      </w:r>
      <w:r w:rsidRPr="003242D6">
        <w:rPr>
          <w:rFonts w:cstheme="minorHAnsi"/>
          <w:sz w:val="24"/>
          <w:szCs w:val="24"/>
        </w:rPr>
        <w:t xml:space="preserve"> </w:t>
      </w:r>
      <w:r w:rsidR="00D04F21" w:rsidRPr="003242D6">
        <w:rPr>
          <w:rFonts w:cstheme="minorHAnsi"/>
          <w:sz w:val="24"/>
          <w:szCs w:val="24"/>
        </w:rPr>
        <w:t>by the 31</w:t>
      </w:r>
      <w:r w:rsidR="00D04F21" w:rsidRPr="003242D6">
        <w:rPr>
          <w:rFonts w:cstheme="minorHAnsi"/>
          <w:sz w:val="24"/>
          <w:szCs w:val="24"/>
          <w:vertAlign w:val="superscript"/>
        </w:rPr>
        <w:t>st</w:t>
      </w:r>
      <w:r w:rsidR="00D04F21" w:rsidRPr="003242D6">
        <w:rPr>
          <w:rFonts w:cstheme="minorHAnsi"/>
          <w:sz w:val="24"/>
          <w:szCs w:val="24"/>
        </w:rPr>
        <w:t xml:space="preserve"> March 2021.</w:t>
      </w:r>
    </w:p>
    <w:p w14:paraId="70F3E1E4" w14:textId="77777777" w:rsidR="00D04F21" w:rsidRPr="003242D6" w:rsidRDefault="00D04F21" w:rsidP="008C0074">
      <w:pPr>
        <w:pStyle w:val="ListParagraph"/>
        <w:jc w:val="both"/>
        <w:rPr>
          <w:rFonts w:cstheme="minorHAnsi"/>
          <w:sz w:val="24"/>
          <w:szCs w:val="24"/>
        </w:rPr>
      </w:pPr>
    </w:p>
    <w:p w14:paraId="60AC4C82" w14:textId="660BA5FF" w:rsidR="00F73119" w:rsidRPr="003242D6" w:rsidRDefault="00F73119" w:rsidP="008C0074">
      <w:pPr>
        <w:jc w:val="both"/>
        <w:rPr>
          <w:rFonts w:cstheme="minorHAnsi"/>
          <w:b/>
          <w:bCs/>
          <w:sz w:val="24"/>
          <w:szCs w:val="24"/>
          <w:u w:val="single"/>
        </w:rPr>
      </w:pPr>
      <w:r w:rsidRPr="003242D6">
        <w:rPr>
          <w:rFonts w:cstheme="minorHAnsi"/>
          <w:b/>
          <w:bCs/>
          <w:sz w:val="24"/>
          <w:szCs w:val="24"/>
          <w:u w:val="single"/>
        </w:rPr>
        <w:t>Enterprise Zones</w:t>
      </w:r>
    </w:p>
    <w:p w14:paraId="3BD17B82" w14:textId="34DA01FD" w:rsidR="009C395E" w:rsidRPr="003242D6" w:rsidRDefault="009C395E" w:rsidP="009C395E">
      <w:pPr>
        <w:jc w:val="both"/>
        <w:rPr>
          <w:rFonts w:cstheme="minorHAnsi"/>
          <w:sz w:val="24"/>
          <w:szCs w:val="24"/>
        </w:rPr>
      </w:pPr>
      <w:r w:rsidRPr="003242D6">
        <w:rPr>
          <w:rFonts w:cstheme="minorHAnsi"/>
          <w:b/>
          <w:bCs/>
          <w:sz w:val="24"/>
          <w:szCs w:val="24"/>
        </w:rPr>
        <w:t xml:space="preserve">SoTCC is the Accountable Body for the EZ Programme. The Initial EZ Investment Programme is funded by </w:t>
      </w:r>
      <w:r w:rsidR="00E963DF" w:rsidRPr="003242D6">
        <w:rPr>
          <w:rFonts w:cstheme="minorHAnsi"/>
          <w:b/>
          <w:bCs/>
          <w:sz w:val="24"/>
          <w:szCs w:val="24"/>
        </w:rPr>
        <w:t>local authority</w:t>
      </w:r>
      <w:r w:rsidRPr="003242D6">
        <w:rPr>
          <w:rFonts w:cstheme="minorHAnsi"/>
          <w:b/>
          <w:bCs/>
          <w:sz w:val="24"/>
          <w:szCs w:val="24"/>
        </w:rPr>
        <w:t xml:space="preserve"> </w:t>
      </w:r>
      <w:r w:rsidR="0045702B" w:rsidRPr="003242D6">
        <w:rPr>
          <w:rFonts w:cstheme="minorHAnsi"/>
          <w:b/>
          <w:bCs/>
          <w:sz w:val="24"/>
          <w:szCs w:val="24"/>
        </w:rPr>
        <w:t xml:space="preserve">borrowing </w:t>
      </w:r>
      <w:r w:rsidRPr="003242D6">
        <w:rPr>
          <w:rFonts w:cstheme="minorHAnsi"/>
          <w:b/>
          <w:bCs/>
          <w:sz w:val="24"/>
          <w:szCs w:val="24"/>
        </w:rPr>
        <w:t>and financed from future business rates.</w:t>
      </w:r>
      <w:r w:rsidR="0045702B" w:rsidRPr="003242D6">
        <w:rPr>
          <w:rFonts w:cstheme="minorHAnsi"/>
          <w:b/>
          <w:bCs/>
          <w:sz w:val="24"/>
          <w:szCs w:val="24"/>
        </w:rPr>
        <w:t xml:space="preserve"> 100% of </w:t>
      </w:r>
      <w:r w:rsidR="0045702B" w:rsidRPr="003242D6">
        <w:rPr>
          <w:rFonts w:cstheme="minorHAnsi"/>
          <w:b/>
          <w:bCs/>
          <w:sz w:val="24"/>
          <w:szCs w:val="24"/>
        </w:rPr>
        <w:lastRenderedPageBreak/>
        <w:t xml:space="preserve">business rates are retained by </w:t>
      </w:r>
      <w:r w:rsidR="00E963DF" w:rsidRPr="003242D6">
        <w:rPr>
          <w:rFonts w:cstheme="minorHAnsi"/>
          <w:b/>
          <w:bCs/>
          <w:sz w:val="24"/>
          <w:szCs w:val="24"/>
        </w:rPr>
        <w:t xml:space="preserve">the </w:t>
      </w:r>
      <w:r w:rsidR="0045702B" w:rsidRPr="003242D6">
        <w:rPr>
          <w:rFonts w:cstheme="minorHAnsi"/>
          <w:b/>
          <w:bCs/>
          <w:sz w:val="24"/>
          <w:szCs w:val="24"/>
        </w:rPr>
        <w:t>local authorities and are to be invested by the LEP once borrowing has been repaid post 2024.</w:t>
      </w:r>
    </w:p>
    <w:p w14:paraId="65067D45" w14:textId="7593A297" w:rsidR="003B468D" w:rsidRPr="003242D6" w:rsidRDefault="000E2F54" w:rsidP="008C0074">
      <w:pPr>
        <w:pStyle w:val="ListParagraph"/>
        <w:numPr>
          <w:ilvl w:val="0"/>
          <w:numId w:val="1"/>
        </w:numPr>
        <w:jc w:val="both"/>
        <w:rPr>
          <w:rFonts w:cstheme="minorHAnsi"/>
          <w:sz w:val="24"/>
          <w:szCs w:val="24"/>
        </w:rPr>
      </w:pPr>
      <w:r w:rsidRPr="003242D6">
        <w:rPr>
          <w:rFonts w:cstheme="minorHAnsi"/>
          <w:sz w:val="24"/>
          <w:szCs w:val="24"/>
        </w:rPr>
        <w:t xml:space="preserve">Current </w:t>
      </w:r>
      <w:r w:rsidR="003B468D" w:rsidRPr="003242D6">
        <w:rPr>
          <w:rFonts w:cstheme="minorHAnsi"/>
          <w:sz w:val="24"/>
          <w:szCs w:val="24"/>
        </w:rPr>
        <w:t xml:space="preserve">Total </w:t>
      </w:r>
      <w:r w:rsidRPr="003242D6">
        <w:rPr>
          <w:rFonts w:cstheme="minorHAnsi"/>
          <w:sz w:val="24"/>
          <w:szCs w:val="24"/>
        </w:rPr>
        <w:t>CVEZ</w:t>
      </w:r>
      <w:r w:rsidR="003B468D" w:rsidRPr="003242D6">
        <w:rPr>
          <w:rFonts w:cstheme="minorHAnsi"/>
          <w:sz w:val="24"/>
          <w:szCs w:val="24"/>
        </w:rPr>
        <w:t xml:space="preserve"> planned </w:t>
      </w:r>
      <w:r w:rsidR="008E093B" w:rsidRPr="003242D6">
        <w:rPr>
          <w:rFonts w:cstheme="minorHAnsi"/>
          <w:sz w:val="24"/>
          <w:szCs w:val="24"/>
        </w:rPr>
        <w:t xml:space="preserve">investment </w:t>
      </w:r>
      <w:r w:rsidR="003B468D" w:rsidRPr="003242D6">
        <w:rPr>
          <w:rFonts w:cstheme="minorHAnsi"/>
          <w:sz w:val="24"/>
          <w:szCs w:val="24"/>
        </w:rPr>
        <w:t xml:space="preserve">is </w:t>
      </w:r>
      <w:r w:rsidR="003B468D" w:rsidRPr="003242D6">
        <w:rPr>
          <w:rFonts w:cstheme="minorHAnsi"/>
          <w:b/>
          <w:bCs/>
          <w:sz w:val="24"/>
          <w:szCs w:val="24"/>
        </w:rPr>
        <w:t>£13.2m</w:t>
      </w:r>
      <w:r w:rsidR="003B468D" w:rsidRPr="003242D6">
        <w:rPr>
          <w:rFonts w:cstheme="minorHAnsi"/>
          <w:sz w:val="24"/>
          <w:szCs w:val="24"/>
        </w:rPr>
        <w:t>.</w:t>
      </w:r>
    </w:p>
    <w:p w14:paraId="62886BC5" w14:textId="5DB4D8EF" w:rsidR="003B468D" w:rsidRPr="003242D6" w:rsidRDefault="003B468D" w:rsidP="00091D5A">
      <w:pPr>
        <w:pStyle w:val="ListParagraph"/>
        <w:numPr>
          <w:ilvl w:val="0"/>
          <w:numId w:val="1"/>
        </w:numPr>
        <w:jc w:val="both"/>
        <w:rPr>
          <w:rFonts w:cstheme="minorHAnsi"/>
          <w:sz w:val="24"/>
          <w:szCs w:val="24"/>
        </w:rPr>
      </w:pPr>
      <w:r w:rsidRPr="003242D6">
        <w:rPr>
          <w:rFonts w:cstheme="minorHAnsi"/>
          <w:sz w:val="24"/>
          <w:szCs w:val="24"/>
        </w:rPr>
        <w:t xml:space="preserve">Anticipated Business Rates on completion of the investment are expected to be </w:t>
      </w:r>
      <w:r w:rsidRPr="003242D6">
        <w:rPr>
          <w:rFonts w:cstheme="minorHAnsi"/>
          <w:b/>
          <w:bCs/>
          <w:sz w:val="24"/>
          <w:szCs w:val="24"/>
        </w:rPr>
        <w:t>£5.282m</w:t>
      </w:r>
      <w:r w:rsidR="008E093B" w:rsidRPr="003242D6">
        <w:rPr>
          <w:rFonts w:cstheme="minorHAnsi"/>
          <w:sz w:val="24"/>
          <w:szCs w:val="24"/>
        </w:rPr>
        <w:t xml:space="preserve"> per annum</w:t>
      </w:r>
      <w:r w:rsidRPr="003242D6">
        <w:rPr>
          <w:rFonts w:cstheme="minorHAnsi"/>
          <w:sz w:val="24"/>
          <w:szCs w:val="24"/>
        </w:rPr>
        <w:t xml:space="preserve">. To date, </w:t>
      </w:r>
      <w:r w:rsidRPr="003242D6">
        <w:rPr>
          <w:rFonts w:cstheme="minorHAnsi"/>
          <w:b/>
          <w:bCs/>
          <w:sz w:val="24"/>
          <w:szCs w:val="24"/>
        </w:rPr>
        <w:t>£0.594m</w:t>
      </w:r>
      <w:r w:rsidRPr="003242D6">
        <w:rPr>
          <w:rFonts w:cstheme="minorHAnsi"/>
          <w:sz w:val="24"/>
          <w:szCs w:val="24"/>
        </w:rPr>
        <w:t xml:space="preserve"> of Business Rates have been secured.</w:t>
      </w:r>
    </w:p>
    <w:p w14:paraId="2D4A0225" w14:textId="2A086C7C" w:rsidR="008E093B" w:rsidRPr="003242D6" w:rsidRDefault="008E093B" w:rsidP="008C0074">
      <w:pPr>
        <w:pStyle w:val="ListParagraph"/>
        <w:numPr>
          <w:ilvl w:val="0"/>
          <w:numId w:val="1"/>
        </w:numPr>
        <w:jc w:val="both"/>
        <w:rPr>
          <w:rFonts w:cstheme="minorHAnsi"/>
          <w:sz w:val="24"/>
          <w:szCs w:val="24"/>
        </w:rPr>
      </w:pPr>
      <w:r w:rsidRPr="003242D6">
        <w:rPr>
          <w:rFonts w:cstheme="minorHAnsi"/>
          <w:sz w:val="24"/>
          <w:szCs w:val="24"/>
        </w:rPr>
        <w:t>CVEZ expected business rates surplus by 2025</w:t>
      </w:r>
      <w:r w:rsidR="005639C9" w:rsidRPr="003242D6">
        <w:rPr>
          <w:rFonts w:cstheme="minorHAnsi"/>
          <w:sz w:val="24"/>
          <w:szCs w:val="24"/>
        </w:rPr>
        <w:t>-</w:t>
      </w:r>
      <w:r w:rsidRPr="003242D6">
        <w:rPr>
          <w:rFonts w:cstheme="minorHAnsi"/>
          <w:sz w:val="24"/>
          <w:szCs w:val="24"/>
        </w:rPr>
        <w:t>26, although economic impact of Covid 19 is likely to impact on this</w:t>
      </w:r>
      <w:r w:rsidR="00BF0F7A" w:rsidRPr="003242D6">
        <w:rPr>
          <w:rFonts w:cstheme="minorHAnsi"/>
          <w:sz w:val="24"/>
          <w:szCs w:val="24"/>
        </w:rPr>
        <w:t>.</w:t>
      </w:r>
    </w:p>
    <w:p w14:paraId="1D1FA9C5" w14:textId="17B400BD" w:rsidR="008E093B" w:rsidRPr="003242D6" w:rsidRDefault="008E093B" w:rsidP="008C0074">
      <w:pPr>
        <w:pStyle w:val="ListParagraph"/>
        <w:numPr>
          <w:ilvl w:val="0"/>
          <w:numId w:val="1"/>
        </w:numPr>
        <w:jc w:val="both"/>
        <w:rPr>
          <w:rFonts w:cstheme="minorHAnsi"/>
          <w:sz w:val="24"/>
          <w:szCs w:val="24"/>
        </w:rPr>
      </w:pPr>
      <w:r w:rsidRPr="003242D6">
        <w:rPr>
          <w:rFonts w:cstheme="minorHAnsi"/>
          <w:sz w:val="24"/>
          <w:szCs w:val="24"/>
        </w:rPr>
        <w:t xml:space="preserve">I54 anticipated business rates surplus by April </w:t>
      </w:r>
      <w:r w:rsidR="005639C9" w:rsidRPr="003242D6">
        <w:rPr>
          <w:rFonts w:cstheme="minorHAnsi"/>
          <w:sz w:val="24"/>
          <w:szCs w:val="24"/>
        </w:rPr>
        <w:t>20</w:t>
      </w:r>
      <w:r w:rsidRPr="003242D6">
        <w:rPr>
          <w:rFonts w:cstheme="minorHAnsi"/>
          <w:sz w:val="24"/>
          <w:szCs w:val="24"/>
        </w:rPr>
        <w:t xml:space="preserve">24, first £10m </w:t>
      </w:r>
      <w:r w:rsidR="005639C9" w:rsidRPr="003242D6">
        <w:rPr>
          <w:rFonts w:cstheme="minorHAnsi"/>
          <w:sz w:val="24"/>
          <w:szCs w:val="24"/>
        </w:rPr>
        <w:t xml:space="preserve">of which is </w:t>
      </w:r>
      <w:r w:rsidRPr="003242D6">
        <w:rPr>
          <w:rFonts w:cstheme="minorHAnsi"/>
          <w:sz w:val="24"/>
          <w:szCs w:val="24"/>
        </w:rPr>
        <w:t>committed to I54 Western Extension</w:t>
      </w:r>
      <w:r w:rsidR="00BF0F7A" w:rsidRPr="003242D6">
        <w:rPr>
          <w:rFonts w:cstheme="minorHAnsi"/>
          <w:sz w:val="24"/>
          <w:szCs w:val="24"/>
        </w:rPr>
        <w:t>.</w:t>
      </w:r>
    </w:p>
    <w:p w14:paraId="138A96EF" w14:textId="77777777" w:rsidR="00F73119" w:rsidRPr="003242D6" w:rsidRDefault="00F73119" w:rsidP="008C0074">
      <w:pPr>
        <w:jc w:val="both"/>
        <w:rPr>
          <w:rFonts w:cstheme="minorHAnsi"/>
          <w:sz w:val="24"/>
          <w:szCs w:val="24"/>
        </w:rPr>
      </w:pPr>
    </w:p>
    <w:p w14:paraId="04691F49" w14:textId="1ABA5A72" w:rsidR="00F73119" w:rsidRPr="003242D6" w:rsidRDefault="00F73119" w:rsidP="008C0074">
      <w:pPr>
        <w:jc w:val="both"/>
        <w:rPr>
          <w:rFonts w:cstheme="minorHAnsi"/>
          <w:b/>
          <w:bCs/>
          <w:sz w:val="24"/>
          <w:szCs w:val="24"/>
          <w:u w:val="single"/>
        </w:rPr>
      </w:pPr>
      <w:r w:rsidRPr="003242D6">
        <w:rPr>
          <w:rFonts w:cstheme="minorHAnsi"/>
          <w:b/>
          <w:bCs/>
          <w:sz w:val="24"/>
          <w:szCs w:val="24"/>
          <w:u w:val="single"/>
        </w:rPr>
        <w:t>Growing Places Fund</w:t>
      </w:r>
    </w:p>
    <w:p w14:paraId="75A1051F" w14:textId="59FBEC2A" w:rsidR="0045702B" w:rsidRPr="003242D6" w:rsidRDefault="00E963DF" w:rsidP="0045702B">
      <w:pPr>
        <w:jc w:val="both"/>
        <w:rPr>
          <w:rFonts w:cstheme="minorHAnsi"/>
          <w:b/>
          <w:bCs/>
          <w:sz w:val="24"/>
          <w:szCs w:val="24"/>
        </w:rPr>
      </w:pPr>
      <w:r w:rsidRPr="003242D6">
        <w:rPr>
          <w:rFonts w:cstheme="minorHAnsi"/>
          <w:b/>
          <w:bCs/>
          <w:sz w:val="24"/>
          <w:szCs w:val="24"/>
        </w:rPr>
        <w:t xml:space="preserve">The Growing Places Fund (GPF) was set up, via Government funding, in 2013 to support local businesses (SMEs) to access </w:t>
      </w:r>
      <w:proofErr w:type="gramStart"/>
      <w:r w:rsidRPr="003242D6">
        <w:rPr>
          <w:rFonts w:cstheme="minorHAnsi"/>
          <w:b/>
          <w:bCs/>
          <w:sz w:val="24"/>
          <w:szCs w:val="24"/>
        </w:rPr>
        <w:t>2 year</w:t>
      </w:r>
      <w:proofErr w:type="gramEnd"/>
      <w:r w:rsidRPr="003242D6">
        <w:rPr>
          <w:rFonts w:cstheme="minorHAnsi"/>
          <w:b/>
          <w:bCs/>
          <w:sz w:val="24"/>
          <w:szCs w:val="24"/>
        </w:rPr>
        <w:t xml:space="preserve"> interest free loans following the credit crash. Flexibility of this funding has enabled the LEP to invest some of its GPF funding as grants for specific large scale local economic development schemes, e.g. Etruria Valley, the Smithfields site development and Bericote (Phase 2). </w:t>
      </w:r>
    </w:p>
    <w:p w14:paraId="7A2C8FF1" w14:textId="620BB163" w:rsidR="006B3853" w:rsidRPr="003242D6" w:rsidRDefault="00646B01" w:rsidP="008C0074">
      <w:pPr>
        <w:pStyle w:val="ListParagraph"/>
        <w:numPr>
          <w:ilvl w:val="0"/>
          <w:numId w:val="1"/>
        </w:numPr>
        <w:jc w:val="both"/>
        <w:rPr>
          <w:rFonts w:cstheme="minorHAnsi"/>
          <w:sz w:val="24"/>
          <w:szCs w:val="24"/>
        </w:rPr>
      </w:pPr>
      <w:r w:rsidRPr="003242D6">
        <w:rPr>
          <w:rFonts w:cstheme="minorHAnsi"/>
          <w:sz w:val="24"/>
          <w:szCs w:val="24"/>
        </w:rPr>
        <w:t xml:space="preserve">Since 2013-14, </w:t>
      </w:r>
      <w:r w:rsidRPr="003242D6">
        <w:rPr>
          <w:rFonts w:cstheme="minorHAnsi"/>
          <w:b/>
          <w:bCs/>
          <w:sz w:val="24"/>
          <w:szCs w:val="24"/>
        </w:rPr>
        <w:t xml:space="preserve">3 grants </w:t>
      </w:r>
      <w:r w:rsidR="008E093B" w:rsidRPr="003242D6">
        <w:rPr>
          <w:rFonts w:cstheme="minorHAnsi"/>
          <w:sz w:val="24"/>
          <w:szCs w:val="24"/>
        </w:rPr>
        <w:t>totalling</w:t>
      </w:r>
      <w:r w:rsidRPr="003242D6">
        <w:rPr>
          <w:rFonts w:cstheme="minorHAnsi"/>
          <w:sz w:val="24"/>
          <w:szCs w:val="24"/>
        </w:rPr>
        <w:t xml:space="preserve"> </w:t>
      </w:r>
      <w:r w:rsidRPr="003242D6">
        <w:rPr>
          <w:rFonts w:cstheme="minorHAnsi"/>
          <w:b/>
          <w:bCs/>
          <w:sz w:val="24"/>
          <w:szCs w:val="24"/>
        </w:rPr>
        <w:t>£7.855m</w:t>
      </w:r>
      <w:r w:rsidRPr="003242D6">
        <w:rPr>
          <w:rFonts w:cstheme="minorHAnsi"/>
          <w:sz w:val="24"/>
          <w:szCs w:val="24"/>
        </w:rPr>
        <w:t xml:space="preserve"> plus </w:t>
      </w:r>
      <w:r w:rsidRPr="003242D6">
        <w:rPr>
          <w:rFonts w:cstheme="minorHAnsi"/>
          <w:b/>
          <w:bCs/>
          <w:sz w:val="24"/>
          <w:szCs w:val="24"/>
        </w:rPr>
        <w:t>13 SME loans</w:t>
      </w:r>
      <w:r w:rsidRPr="003242D6">
        <w:rPr>
          <w:rFonts w:cstheme="minorHAnsi"/>
          <w:sz w:val="24"/>
          <w:szCs w:val="24"/>
        </w:rPr>
        <w:t xml:space="preserve"> totalling </w:t>
      </w:r>
      <w:r w:rsidRPr="003242D6">
        <w:rPr>
          <w:rFonts w:cstheme="minorHAnsi"/>
          <w:b/>
          <w:bCs/>
          <w:sz w:val="24"/>
          <w:szCs w:val="24"/>
        </w:rPr>
        <w:t>£6.545m</w:t>
      </w:r>
      <w:r w:rsidRPr="003242D6">
        <w:rPr>
          <w:rFonts w:cstheme="minorHAnsi"/>
          <w:sz w:val="24"/>
          <w:szCs w:val="24"/>
        </w:rPr>
        <w:t xml:space="preserve"> have been awarded by the SSLEP – a </w:t>
      </w:r>
      <w:r w:rsidRPr="003242D6">
        <w:rPr>
          <w:rFonts w:cstheme="minorHAnsi"/>
          <w:b/>
          <w:bCs/>
          <w:sz w:val="24"/>
          <w:szCs w:val="24"/>
        </w:rPr>
        <w:t xml:space="preserve">£14.398m </w:t>
      </w:r>
      <w:r w:rsidRPr="003242D6">
        <w:rPr>
          <w:rFonts w:cstheme="minorHAnsi"/>
          <w:sz w:val="24"/>
          <w:szCs w:val="24"/>
        </w:rPr>
        <w:t>total investment to date</w:t>
      </w:r>
      <w:r w:rsidR="00F1679B" w:rsidRPr="003242D6">
        <w:rPr>
          <w:rFonts w:cstheme="minorHAnsi"/>
          <w:sz w:val="24"/>
          <w:szCs w:val="24"/>
        </w:rPr>
        <w:t xml:space="preserve">, leveraging over </w:t>
      </w:r>
      <w:r w:rsidR="00F1679B" w:rsidRPr="003242D6">
        <w:rPr>
          <w:rFonts w:cstheme="minorHAnsi"/>
          <w:b/>
          <w:bCs/>
          <w:sz w:val="24"/>
          <w:szCs w:val="24"/>
          <w:u w:val="single"/>
        </w:rPr>
        <w:t>£76m+</w:t>
      </w:r>
      <w:r w:rsidR="00F1679B" w:rsidRPr="003242D6">
        <w:rPr>
          <w:rFonts w:cstheme="minorHAnsi"/>
          <w:sz w:val="24"/>
          <w:szCs w:val="24"/>
        </w:rPr>
        <w:t xml:space="preserve"> of Private Sector Investment.</w:t>
      </w:r>
    </w:p>
    <w:p w14:paraId="7D8C8018" w14:textId="611EAB49" w:rsidR="00BF0F7A" w:rsidRPr="003242D6" w:rsidRDefault="00F1679B" w:rsidP="008C0074">
      <w:pPr>
        <w:pStyle w:val="ListParagraph"/>
        <w:numPr>
          <w:ilvl w:val="0"/>
          <w:numId w:val="1"/>
        </w:numPr>
        <w:jc w:val="both"/>
        <w:rPr>
          <w:rFonts w:cstheme="minorHAnsi"/>
          <w:sz w:val="24"/>
          <w:szCs w:val="24"/>
        </w:rPr>
      </w:pPr>
      <w:r w:rsidRPr="003242D6">
        <w:rPr>
          <w:rFonts w:cstheme="minorHAnsi"/>
          <w:sz w:val="24"/>
          <w:szCs w:val="24"/>
        </w:rPr>
        <w:t>As at 3</w:t>
      </w:r>
      <w:r w:rsidR="005639C9" w:rsidRPr="003242D6">
        <w:rPr>
          <w:rFonts w:cstheme="minorHAnsi"/>
          <w:sz w:val="24"/>
          <w:szCs w:val="24"/>
        </w:rPr>
        <w:t>1</w:t>
      </w:r>
      <w:r w:rsidRPr="003242D6">
        <w:rPr>
          <w:rFonts w:cstheme="minorHAnsi"/>
          <w:sz w:val="24"/>
          <w:szCs w:val="24"/>
        </w:rPr>
        <w:t xml:space="preserve">st March 2020, the GPF Loans Fund currently holds a balance of </w:t>
      </w:r>
      <w:r w:rsidRPr="003242D6">
        <w:rPr>
          <w:rFonts w:cstheme="minorHAnsi"/>
          <w:b/>
          <w:bCs/>
          <w:sz w:val="24"/>
          <w:szCs w:val="24"/>
        </w:rPr>
        <w:t>£3.38m</w:t>
      </w:r>
      <w:r w:rsidRPr="003242D6">
        <w:rPr>
          <w:rFonts w:cstheme="minorHAnsi"/>
          <w:sz w:val="24"/>
          <w:szCs w:val="24"/>
        </w:rPr>
        <w:t xml:space="preserve">. After </w:t>
      </w:r>
      <w:proofErr w:type="gramStart"/>
      <w:r w:rsidRPr="003242D6">
        <w:rPr>
          <w:rFonts w:cstheme="minorHAnsi"/>
          <w:sz w:val="24"/>
          <w:szCs w:val="24"/>
        </w:rPr>
        <w:t>taking into account</w:t>
      </w:r>
      <w:proofErr w:type="gramEnd"/>
      <w:r w:rsidRPr="003242D6">
        <w:rPr>
          <w:rFonts w:cstheme="minorHAnsi"/>
          <w:sz w:val="24"/>
          <w:szCs w:val="24"/>
        </w:rPr>
        <w:t xml:space="preserve"> of all outstanding contractual loan payments and repayments the available ‘rolling balance’ stands at </w:t>
      </w:r>
      <w:r w:rsidRPr="003242D6">
        <w:rPr>
          <w:rFonts w:cstheme="minorHAnsi"/>
          <w:b/>
          <w:bCs/>
          <w:sz w:val="24"/>
          <w:szCs w:val="24"/>
        </w:rPr>
        <w:t>£2.921m</w:t>
      </w:r>
      <w:r w:rsidRPr="003242D6">
        <w:rPr>
          <w:rFonts w:cstheme="minorHAnsi"/>
          <w:sz w:val="24"/>
          <w:szCs w:val="24"/>
        </w:rPr>
        <w:t>.</w:t>
      </w:r>
    </w:p>
    <w:p w14:paraId="709DFD83" w14:textId="77777777" w:rsidR="00E963DF" w:rsidRPr="003242D6" w:rsidRDefault="00E963DF" w:rsidP="00E963DF">
      <w:pPr>
        <w:pStyle w:val="ListParagraph"/>
        <w:jc w:val="both"/>
        <w:rPr>
          <w:rFonts w:cstheme="minorHAnsi"/>
          <w:sz w:val="24"/>
          <w:szCs w:val="24"/>
        </w:rPr>
      </w:pPr>
    </w:p>
    <w:p w14:paraId="78F429B9" w14:textId="67BA9FAC" w:rsidR="00F73119" w:rsidRPr="003242D6" w:rsidRDefault="00F73119" w:rsidP="008C0074">
      <w:pPr>
        <w:jc w:val="both"/>
        <w:rPr>
          <w:rFonts w:cstheme="minorHAnsi"/>
          <w:b/>
          <w:bCs/>
          <w:sz w:val="24"/>
          <w:szCs w:val="24"/>
          <w:u w:val="single"/>
        </w:rPr>
      </w:pPr>
      <w:r w:rsidRPr="003242D6">
        <w:rPr>
          <w:rFonts w:cstheme="minorHAnsi"/>
          <w:b/>
          <w:bCs/>
          <w:sz w:val="24"/>
          <w:szCs w:val="24"/>
          <w:u w:val="single"/>
        </w:rPr>
        <w:t>ESIF Programme</w:t>
      </w:r>
    </w:p>
    <w:p w14:paraId="268C5239" w14:textId="5D89AB26" w:rsidR="0045702B" w:rsidRPr="003242D6" w:rsidRDefault="00E963DF" w:rsidP="0045702B">
      <w:pPr>
        <w:jc w:val="both"/>
        <w:rPr>
          <w:rFonts w:cstheme="minorHAnsi"/>
          <w:b/>
          <w:bCs/>
          <w:sz w:val="24"/>
          <w:szCs w:val="24"/>
        </w:rPr>
      </w:pPr>
      <w:r w:rsidRPr="003242D6">
        <w:rPr>
          <w:rFonts w:cstheme="minorHAnsi"/>
          <w:b/>
          <w:bCs/>
          <w:sz w:val="24"/>
          <w:szCs w:val="24"/>
        </w:rPr>
        <w:t xml:space="preserve">The ESIF Programme </w:t>
      </w:r>
      <w:r w:rsidR="002C4549" w:rsidRPr="003242D6">
        <w:rPr>
          <w:rFonts w:cstheme="minorHAnsi"/>
          <w:b/>
          <w:bCs/>
          <w:sz w:val="24"/>
          <w:szCs w:val="24"/>
        </w:rPr>
        <w:t xml:space="preserve">consists of 3 European grant funding streams – ERDF; EAFRD &amp; ESF – which allocates grants to SME projects/schemes bids and is managed via the ESIF Committee. The LEP evaluates ESIF bids </w:t>
      </w:r>
      <w:r w:rsidR="007C3246" w:rsidRPr="003242D6">
        <w:rPr>
          <w:rFonts w:cstheme="minorHAnsi"/>
          <w:b/>
          <w:bCs/>
          <w:sz w:val="24"/>
          <w:szCs w:val="24"/>
        </w:rPr>
        <w:t>against</w:t>
      </w:r>
      <w:r w:rsidR="002C4549" w:rsidRPr="003242D6">
        <w:rPr>
          <w:rFonts w:cstheme="minorHAnsi"/>
          <w:b/>
          <w:bCs/>
          <w:sz w:val="24"/>
          <w:szCs w:val="24"/>
        </w:rPr>
        <w:t xml:space="preserve"> specific funding criteria;</w:t>
      </w:r>
      <w:r w:rsidR="007C3246" w:rsidRPr="003242D6">
        <w:rPr>
          <w:rFonts w:cstheme="minorHAnsi"/>
          <w:b/>
          <w:bCs/>
          <w:sz w:val="24"/>
          <w:szCs w:val="24"/>
        </w:rPr>
        <w:t xml:space="preserve"> </w:t>
      </w:r>
      <w:r w:rsidR="002C4549" w:rsidRPr="003242D6">
        <w:rPr>
          <w:rFonts w:cstheme="minorHAnsi"/>
          <w:b/>
          <w:bCs/>
          <w:sz w:val="24"/>
          <w:szCs w:val="24"/>
        </w:rPr>
        <w:t>conducts appropriate due diligence and makes recommendation to the MHCLG who</w:t>
      </w:r>
      <w:r w:rsidR="007C3246" w:rsidRPr="003242D6">
        <w:rPr>
          <w:rFonts w:cstheme="minorHAnsi"/>
          <w:b/>
          <w:bCs/>
          <w:sz w:val="24"/>
          <w:szCs w:val="24"/>
        </w:rPr>
        <w:t xml:space="preserve"> pay the grant</w:t>
      </w:r>
      <w:r w:rsidR="002C4549" w:rsidRPr="003242D6">
        <w:rPr>
          <w:rFonts w:cstheme="minorHAnsi"/>
          <w:b/>
          <w:bCs/>
          <w:sz w:val="24"/>
          <w:szCs w:val="24"/>
        </w:rPr>
        <w:t xml:space="preserve"> directly to </w:t>
      </w:r>
      <w:r w:rsidR="007C3246" w:rsidRPr="003242D6">
        <w:rPr>
          <w:rFonts w:cstheme="minorHAnsi"/>
          <w:b/>
          <w:bCs/>
          <w:sz w:val="24"/>
          <w:szCs w:val="24"/>
        </w:rPr>
        <w:t xml:space="preserve">the successful bidders. No ESIF funding is directly held by the LEP. </w:t>
      </w:r>
      <w:r w:rsidR="002C4549" w:rsidRPr="003242D6">
        <w:rPr>
          <w:rFonts w:cstheme="minorHAnsi"/>
          <w:b/>
          <w:bCs/>
          <w:sz w:val="24"/>
          <w:szCs w:val="24"/>
        </w:rPr>
        <w:t xml:space="preserve"> </w:t>
      </w:r>
    </w:p>
    <w:p w14:paraId="67EFD5B7" w14:textId="55BF4A25" w:rsidR="006B3853" w:rsidRPr="003242D6" w:rsidRDefault="00B9012B" w:rsidP="008C0074">
      <w:pPr>
        <w:pStyle w:val="ListParagraph"/>
        <w:numPr>
          <w:ilvl w:val="0"/>
          <w:numId w:val="1"/>
        </w:numPr>
        <w:jc w:val="both"/>
        <w:rPr>
          <w:rFonts w:cstheme="minorHAnsi"/>
          <w:b/>
          <w:bCs/>
          <w:sz w:val="24"/>
          <w:szCs w:val="24"/>
        </w:rPr>
      </w:pPr>
      <w:r w:rsidRPr="003242D6">
        <w:rPr>
          <w:rFonts w:cstheme="minorHAnsi"/>
          <w:sz w:val="24"/>
          <w:szCs w:val="24"/>
        </w:rPr>
        <w:t xml:space="preserve">Total ESIF funding is </w:t>
      </w:r>
      <w:r w:rsidRPr="003242D6">
        <w:rPr>
          <w:rFonts w:cstheme="minorHAnsi"/>
          <w:b/>
          <w:bCs/>
          <w:sz w:val="24"/>
          <w:szCs w:val="24"/>
        </w:rPr>
        <w:t>£156.33m.</w:t>
      </w:r>
    </w:p>
    <w:p w14:paraId="14C3E893" w14:textId="421371C9" w:rsidR="00B9012B" w:rsidRPr="003242D6" w:rsidRDefault="00B9012B" w:rsidP="008C0074">
      <w:pPr>
        <w:pStyle w:val="ListParagraph"/>
        <w:numPr>
          <w:ilvl w:val="0"/>
          <w:numId w:val="1"/>
        </w:numPr>
        <w:jc w:val="both"/>
        <w:rPr>
          <w:rFonts w:cstheme="minorHAnsi"/>
          <w:sz w:val="24"/>
          <w:szCs w:val="24"/>
        </w:rPr>
      </w:pPr>
      <w:r w:rsidRPr="003242D6">
        <w:rPr>
          <w:rFonts w:cstheme="minorHAnsi"/>
          <w:sz w:val="24"/>
          <w:szCs w:val="24"/>
        </w:rPr>
        <w:t>As at 31</w:t>
      </w:r>
      <w:r w:rsidRPr="003242D6">
        <w:rPr>
          <w:rFonts w:cstheme="minorHAnsi"/>
          <w:sz w:val="24"/>
          <w:szCs w:val="24"/>
          <w:vertAlign w:val="superscript"/>
        </w:rPr>
        <w:t>st</w:t>
      </w:r>
      <w:r w:rsidRPr="003242D6">
        <w:rPr>
          <w:rFonts w:cstheme="minorHAnsi"/>
          <w:sz w:val="24"/>
          <w:szCs w:val="24"/>
        </w:rPr>
        <w:t xml:space="preserve"> March 2020, </w:t>
      </w:r>
      <w:r w:rsidRPr="003242D6">
        <w:rPr>
          <w:rFonts w:cstheme="minorHAnsi"/>
          <w:b/>
          <w:bCs/>
          <w:sz w:val="24"/>
          <w:szCs w:val="24"/>
        </w:rPr>
        <w:t xml:space="preserve">£143.12m </w:t>
      </w:r>
      <w:r w:rsidRPr="003242D6">
        <w:rPr>
          <w:rFonts w:cstheme="minorHAnsi"/>
          <w:sz w:val="24"/>
          <w:szCs w:val="24"/>
        </w:rPr>
        <w:t>(</w:t>
      </w:r>
      <w:r w:rsidRPr="003242D6">
        <w:rPr>
          <w:rFonts w:cstheme="minorHAnsi"/>
          <w:b/>
          <w:bCs/>
          <w:i/>
          <w:iCs/>
          <w:sz w:val="24"/>
          <w:szCs w:val="24"/>
        </w:rPr>
        <w:t>91.5%</w:t>
      </w:r>
      <w:r w:rsidRPr="003242D6">
        <w:rPr>
          <w:rFonts w:cstheme="minorHAnsi"/>
          <w:sz w:val="24"/>
          <w:szCs w:val="24"/>
        </w:rPr>
        <w:t>) of the total ESIF Programme grant funding had been committed to date.</w:t>
      </w:r>
    </w:p>
    <w:p w14:paraId="7E2A9141" w14:textId="3CF604BD" w:rsidR="00B9012B" w:rsidRPr="003242D6" w:rsidRDefault="00B9012B" w:rsidP="008C0074">
      <w:pPr>
        <w:pStyle w:val="ListParagraph"/>
        <w:numPr>
          <w:ilvl w:val="0"/>
          <w:numId w:val="1"/>
        </w:numPr>
        <w:jc w:val="both"/>
        <w:rPr>
          <w:rFonts w:cstheme="minorHAnsi"/>
          <w:sz w:val="24"/>
          <w:szCs w:val="24"/>
        </w:rPr>
      </w:pPr>
      <w:r w:rsidRPr="003242D6">
        <w:rPr>
          <w:rFonts w:cstheme="minorHAnsi"/>
          <w:b/>
          <w:bCs/>
          <w:sz w:val="24"/>
          <w:szCs w:val="24"/>
        </w:rPr>
        <w:t>£104.4</w:t>
      </w:r>
      <w:r w:rsidR="00007AC4" w:rsidRPr="003242D6">
        <w:rPr>
          <w:rFonts w:cstheme="minorHAnsi"/>
          <w:b/>
          <w:bCs/>
          <w:sz w:val="24"/>
          <w:szCs w:val="24"/>
        </w:rPr>
        <w:t>3m</w:t>
      </w:r>
      <w:r w:rsidRPr="003242D6">
        <w:rPr>
          <w:rFonts w:cstheme="minorHAnsi"/>
          <w:sz w:val="24"/>
          <w:szCs w:val="24"/>
        </w:rPr>
        <w:t xml:space="preserve"> (or </w:t>
      </w:r>
      <w:r w:rsidRPr="003242D6">
        <w:rPr>
          <w:rFonts w:cstheme="minorHAnsi"/>
          <w:b/>
          <w:bCs/>
          <w:i/>
          <w:iCs/>
          <w:sz w:val="24"/>
          <w:szCs w:val="24"/>
        </w:rPr>
        <w:t>75.1</w:t>
      </w:r>
      <w:r w:rsidRPr="003242D6">
        <w:rPr>
          <w:rFonts w:cstheme="minorHAnsi"/>
          <w:sz w:val="24"/>
          <w:szCs w:val="24"/>
        </w:rPr>
        <w:t>% of committed funds) had been claimed.</w:t>
      </w:r>
    </w:p>
    <w:p w14:paraId="1FEDA35A" w14:textId="5DB9E62F" w:rsidR="00B9012B" w:rsidRPr="003242D6" w:rsidRDefault="00B9012B" w:rsidP="008C0074">
      <w:pPr>
        <w:pStyle w:val="ListParagraph"/>
        <w:numPr>
          <w:ilvl w:val="0"/>
          <w:numId w:val="1"/>
        </w:numPr>
        <w:jc w:val="both"/>
        <w:rPr>
          <w:rFonts w:cstheme="minorHAnsi"/>
          <w:sz w:val="24"/>
          <w:szCs w:val="24"/>
        </w:rPr>
      </w:pPr>
      <w:r w:rsidRPr="003242D6">
        <w:rPr>
          <w:rFonts w:cstheme="minorHAnsi"/>
          <w:b/>
          <w:bCs/>
          <w:sz w:val="24"/>
          <w:szCs w:val="24"/>
        </w:rPr>
        <w:t>£13.21m</w:t>
      </w:r>
      <w:r w:rsidRPr="003242D6">
        <w:rPr>
          <w:rFonts w:cstheme="minorHAnsi"/>
          <w:sz w:val="24"/>
          <w:szCs w:val="24"/>
        </w:rPr>
        <w:t xml:space="preserve"> of ESIF funds</w:t>
      </w:r>
      <w:r w:rsidR="00091D5A" w:rsidRPr="003242D6">
        <w:rPr>
          <w:rFonts w:cstheme="minorHAnsi"/>
          <w:sz w:val="24"/>
          <w:szCs w:val="24"/>
        </w:rPr>
        <w:t xml:space="preserve"> </w:t>
      </w:r>
      <w:r w:rsidR="00007AC4" w:rsidRPr="003242D6">
        <w:rPr>
          <w:rFonts w:cstheme="minorHAnsi"/>
          <w:sz w:val="24"/>
          <w:szCs w:val="24"/>
        </w:rPr>
        <w:t>has yet to be committed in the final year of funding.</w:t>
      </w:r>
    </w:p>
    <w:p w14:paraId="19CE1D4C" w14:textId="3AD42FDA" w:rsidR="00007AC4" w:rsidRPr="003242D6" w:rsidRDefault="00007AC4" w:rsidP="008C0074">
      <w:pPr>
        <w:pStyle w:val="ListParagraph"/>
        <w:numPr>
          <w:ilvl w:val="0"/>
          <w:numId w:val="1"/>
        </w:numPr>
        <w:jc w:val="both"/>
        <w:rPr>
          <w:rFonts w:cstheme="minorHAnsi"/>
          <w:sz w:val="24"/>
          <w:szCs w:val="24"/>
        </w:rPr>
      </w:pPr>
      <w:r w:rsidRPr="003242D6">
        <w:rPr>
          <w:rFonts w:cstheme="minorHAnsi"/>
          <w:sz w:val="24"/>
          <w:szCs w:val="24"/>
        </w:rPr>
        <w:t xml:space="preserve">There is </w:t>
      </w:r>
      <w:r w:rsidRPr="003242D6">
        <w:rPr>
          <w:rFonts w:cstheme="minorHAnsi"/>
          <w:b/>
          <w:bCs/>
          <w:sz w:val="24"/>
          <w:szCs w:val="24"/>
          <w:u w:val="single"/>
        </w:rPr>
        <w:t>a high level of confidence</w:t>
      </w:r>
      <w:r w:rsidRPr="003242D6">
        <w:rPr>
          <w:rFonts w:cstheme="minorHAnsi"/>
          <w:sz w:val="24"/>
          <w:szCs w:val="24"/>
        </w:rPr>
        <w:t xml:space="preserve"> that the balance of ESIF funding is ‘on course’ to meet the grants commitments deadline (31</w:t>
      </w:r>
      <w:r w:rsidRPr="003242D6">
        <w:rPr>
          <w:rFonts w:cstheme="minorHAnsi"/>
          <w:sz w:val="24"/>
          <w:szCs w:val="24"/>
          <w:vertAlign w:val="superscript"/>
        </w:rPr>
        <w:t>st</w:t>
      </w:r>
      <w:r w:rsidRPr="003242D6">
        <w:rPr>
          <w:rFonts w:cstheme="minorHAnsi"/>
          <w:sz w:val="24"/>
          <w:szCs w:val="24"/>
        </w:rPr>
        <w:t xml:space="preserve"> March 2021) and the grants payments (30</w:t>
      </w:r>
      <w:r w:rsidRPr="003242D6">
        <w:rPr>
          <w:rFonts w:cstheme="minorHAnsi"/>
          <w:sz w:val="24"/>
          <w:szCs w:val="24"/>
          <w:vertAlign w:val="superscript"/>
        </w:rPr>
        <w:t>th</w:t>
      </w:r>
      <w:r w:rsidRPr="003242D6">
        <w:rPr>
          <w:rFonts w:cstheme="minorHAnsi"/>
          <w:sz w:val="24"/>
          <w:szCs w:val="24"/>
        </w:rPr>
        <w:t xml:space="preserve"> June 20201) deadline, subject to any government national review of uncommitted ESIF funding being undertaken to</w:t>
      </w:r>
      <w:r w:rsidR="005639C9" w:rsidRPr="003242D6">
        <w:rPr>
          <w:rFonts w:cstheme="minorHAnsi"/>
          <w:sz w:val="24"/>
          <w:szCs w:val="24"/>
        </w:rPr>
        <w:t xml:space="preserve"> potentially</w:t>
      </w:r>
      <w:r w:rsidRPr="003242D6">
        <w:rPr>
          <w:rFonts w:cstheme="minorHAnsi"/>
          <w:sz w:val="24"/>
          <w:szCs w:val="24"/>
        </w:rPr>
        <w:t xml:space="preserve"> redirect available financial resources to deal with the current Covid-19 pandemic. </w:t>
      </w:r>
    </w:p>
    <w:p w14:paraId="5320AD71" w14:textId="77777777" w:rsidR="00F73119" w:rsidRPr="003242D6" w:rsidRDefault="00F73119" w:rsidP="008C0074">
      <w:pPr>
        <w:jc w:val="both"/>
        <w:rPr>
          <w:rFonts w:cstheme="minorHAnsi"/>
          <w:sz w:val="24"/>
          <w:szCs w:val="24"/>
        </w:rPr>
      </w:pPr>
    </w:p>
    <w:p w14:paraId="1BCECFB4" w14:textId="201C340F" w:rsidR="00F73119" w:rsidRPr="003242D6" w:rsidRDefault="00F73119" w:rsidP="008C0074">
      <w:pPr>
        <w:jc w:val="both"/>
        <w:rPr>
          <w:rFonts w:cstheme="minorHAnsi"/>
          <w:b/>
          <w:bCs/>
          <w:sz w:val="24"/>
          <w:szCs w:val="24"/>
          <w:u w:val="single"/>
        </w:rPr>
      </w:pPr>
      <w:r w:rsidRPr="003242D6">
        <w:rPr>
          <w:rFonts w:cstheme="minorHAnsi"/>
          <w:b/>
          <w:bCs/>
          <w:sz w:val="24"/>
          <w:szCs w:val="24"/>
          <w:u w:val="single"/>
        </w:rPr>
        <w:t xml:space="preserve">LEP Revenue </w:t>
      </w:r>
    </w:p>
    <w:p w14:paraId="5B2EF2FE" w14:textId="77777777" w:rsidR="00CD672F" w:rsidRPr="003242D6" w:rsidRDefault="00CD672F" w:rsidP="008C0074">
      <w:pPr>
        <w:jc w:val="both"/>
        <w:rPr>
          <w:rFonts w:cstheme="minorHAnsi"/>
          <w:sz w:val="24"/>
          <w:szCs w:val="24"/>
        </w:rPr>
      </w:pPr>
    </w:p>
    <w:p w14:paraId="741FDB0B" w14:textId="1774EBBA" w:rsidR="00F73119" w:rsidRPr="003242D6" w:rsidRDefault="00F73119" w:rsidP="008C0074">
      <w:pPr>
        <w:jc w:val="both"/>
        <w:rPr>
          <w:rFonts w:cstheme="minorHAnsi"/>
          <w:sz w:val="24"/>
          <w:szCs w:val="24"/>
        </w:rPr>
      </w:pPr>
      <w:r w:rsidRPr="003242D6">
        <w:rPr>
          <w:rFonts w:cstheme="minorHAnsi"/>
          <w:b/>
          <w:bCs/>
          <w:sz w:val="24"/>
          <w:szCs w:val="24"/>
        </w:rPr>
        <w:t>Core Fund</w:t>
      </w:r>
      <w:r w:rsidR="008C3220" w:rsidRPr="003242D6">
        <w:rPr>
          <w:rFonts w:cstheme="minorHAnsi"/>
          <w:b/>
          <w:bCs/>
          <w:sz w:val="24"/>
          <w:szCs w:val="24"/>
        </w:rPr>
        <w:t xml:space="preserve"> / Activities</w:t>
      </w:r>
    </w:p>
    <w:p w14:paraId="501FB0E5" w14:textId="5F201477" w:rsidR="009901E3" w:rsidRPr="003242D6" w:rsidRDefault="009901E3" w:rsidP="009901E3">
      <w:pPr>
        <w:jc w:val="both"/>
        <w:rPr>
          <w:rFonts w:cstheme="minorHAnsi"/>
          <w:b/>
          <w:bCs/>
          <w:sz w:val="24"/>
          <w:szCs w:val="24"/>
        </w:rPr>
      </w:pPr>
      <w:r w:rsidRPr="003242D6">
        <w:rPr>
          <w:rFonts w:cstheme="minorHAnsi"/>
          <w:b/>
          <w:bCs/>
          <w:sz w:val="24"/>
          <w:szCs w:val="24"/>
        </w:rPr>
        <w:t>The Core Fund Grant is an annual grant awarded to the LEP to fund the LEP’s overall operations (i.e. Marketing; Communications; Office Accommodation; Insurance; Auditing Fees; Business Engagement Events &amp; the Board’s operating expenses including Board member recruitment); funds its Secretariat capacity and is spent</w:t>
      </w:r>
      <w:r w:rsidRPr="003242D6">
        <w:rPr>
          <w:rFonts w:cstheme="minorHAnsi"/>
          <w:sz w:val="24"/>
          <w:szCs w:val="24"/>
        </w:rPr>
        <w:t xml:space="preserve"> </w:t>
      </w:r>
      <w:r w:rsidRPr="003242D6">
        <w:rPr>
          <w:rFonts w:cstheme="minorHAnsi"/>
          <w:b/>
          <w:bCs/>
          <w:sz w:val="24"/>
          <w:szCs w:val="24"/>
        </w:rPr>
        <w:t xml:space="preserve">in accordance with an approved CLGU Annual Spending Plan. </w:t>
      </w:r>
      <w:r w:rsidRPr="003242D6">
        <w:rPr>
          <w:rFonts w:eastAsia="Times New Roman" w:cstheme="minorHAnsi"/>
          <w:b/>
          <w:bCs/>
          <w:color w:val="000000"/>
          <w:sz w:val="24"/>
          <w:szCs w:val="24"/>
          <w:lang w:eastAsia="en-GB"/>
        </w:rPr>
        <w:t>This grant can only be used for this purpose.</w:t>
      </w:r>
    </w:p>
    <w:p w14:paraId="4F02B474" w14:textId="77777777" w:rsidR="0045702B" w:rsidRPr="003242D6" w:rsidRDefault="0045702B" w:rsidP="0045702B">
      <w:pPr>
        <w:jc w:val="both"/>
        <w:rPr>
          <w:rFonts w:cstheme="minorHAnsi"/>
          <w:b/>
          <w:bCs/>
          <w:sz w:val="24"/>
          <w:szCs w:val="24"/>
        </w:rPr>
      </w:pPr>
    </w:p>
    <w:p w14:paraId="520DBC8B" w14:textId="645517F2" w:rsidR="00D33141" w:rsidRPr="003242D6" w:rsidRDefault="00225638" w:rsidP="008C0074">
      <w:pPr>
        <w:pStyle w:val="ListParagraph"/>
        <w:numPr>
          <w:ilvl w:val="0"/>
          <w:numId w:val="1"/>
        </w:numPr>
        <w:jc w:val="both"/>
        <w:rPr>
          <w:rFonts w:cstheme="minorHAnsi"/>
          <w:b/>
          <w:bCs/>
          <w:sz w:val="24"/>
          <w:szCs w:val="24"/>
        </w:rPr>
      </w:pPr>
      <w:r w:rsidRPr="003242D6">
        <w:rPr>
          <w:rFonts w:cstheme="minorHAnsi"/>
          <w:sz w:val="24"/>
          <w:szCs w:val="24"/>
        </w:rPr>
        <w:t xml:space="preserve">Total Core Fund spend was </w:t>
      </w:r>
      <w:r w:rsidRPr="003242D6">
        <w:rPr>
          <w:rFonts w:cstheme="minorHAnsi"/>
          <w:b/>
          <w:bCs/>
          <w:sz w:val="24"/>
          <w:szCs w:val="24"/>
        </w:rPr>
        <w:t>£0.306m</w:t>
      </w:r>
      <w:r w:rsidR="008E093B" w:rsidRPr="003242D6">
        <w:rPr>
          <w:rFonts w:cstheme="minorHAnsi"/>
          <w:b/>
          <w:bCs/>
          <w:sz w:val="24"/>
          <w:szCs w:val="24"/>
        </w:rPr>
        <w:t xml:space="preserve"> </w:t>
      </w:r>
      <w:r w:rsidR="008E093B" w:rsidRPr="003242D6">
        <w:rPr>
          <w:rFonts w:cstheme="minorHAnsi"/>
          <w:sz w:val="24"/>
          <w:szCs w:val="24"/>
        </w:rPr>
        <w:t>in 2019</w:t>
      </w:r>
      <w:r w:rsidR="00606DC8" w:rsidRPr="003242D6">
        <w:rPr>
          <w:rFonts w:cstheme="minorHAnsi"/>
          <w:sz w:val="24"/>
          <w:szCs w:val="24"/>
        </w:rPr>
        <w:t>-</w:t>
      </w:r>
      <w:r w:rsidR="008E093B" w:rsidRPr="003242D6">
        <w:rPr>
          <w:rFonts w:cstheme="minorHAnsi"/>
          <w:sz w:val="24"/>
          <w:szCs w:val="24"/>
        </w:rPr>
        <w:t>20</w:t>
      </w:r>
      <w:r w:rsidRPr="003242D6">
        <w:rPr>
          <w:rFonts w:cstheme="minorHAnsi"/>
          <w:b/>
          <w:bCs/>
          <w:sz w:val="24"/>
          <w:szCs w:val="24"/>
        </w:rPr>
        <w:t xml:space="preserve"> </w:t>
      </w:r>
      <w:r w:rsidRPr="003242D6">
        <w:rPr>
          <w:rFonts w:cstheme="minorHAnsi"/>
          <w:sz w:val="24"/>
          <w:szCs w:val="24"/>
        </w:rPr>
        <w:t>or</w:t>
      </w:r>
      <w:r w:rsidRPr="003242D6">
        <w:rPr>
          <w:rFonts w:cstheme="minorHAnsi"/>
          <w:b/>
          <w:bCs/>
          <w:sz w:val="24"/>
          <w:szCs w:val="24"/>
        </w:rPr>
        <w:t xml:space="preserve"> </w:t>
      </w:r>
      <w:r w:rsidRPr="003242D6">
        <w:rPr>
          <w:rFonts w:cstheme="minorHAnsi"/>
          <w:b/>
          <w:bCs/>
          <w:i/>
          <w:iCs/>
          <w:sz w:val="24"/>
          <w:szCs w:val="24"/>
        </w:rPr>
        <w:t>50.5%</w:t>
      </w:r>
      <w:r w:rsidRPr="003242D6">
        <w:rPr>
          <w:rFonts w:cstheme="minorHAnsi"/>
          <w:b/>
          <w:bCs/>
          <w:sz w:val="24"/>
          <w:szCs w:val="24"/>
        </w:rPr>
        <w:t xml:space="preserve"> </w:t>
      </w:r>
      <w:r w:rsidRPr="003242D6">
        <w:rPr>
          <w:rFonts w:cstheme="minorHAnsi"/>
          <w:sz w:val="24"/>
          <w:szCs w:val="24"/>
        </w:rPr>
        <w:t xml:space="preserve">of the </w:t>
      </w:r>
      <w:r w:rsidRPr="003242D6">
        <w:rPr>
          <w:rFonts w:cstheme="minorHAnsi"/>
          <w:b/>
          <w:bCs/>
          <w:sz w:val="24"/>
          <w:szCs w:val="24"/>
        </w:rPr>
        <w:t>£0.606m</w:t>
      </w:r>
      <w:r w:rsidRPr="003242D6">
        <w:rPr>
          <w:rFonts w:cstheme="minorHAnsi"/>
          <w:sz w:val="24"/>
          <w:szCs w:val="24"/>
        </w:rPr>
        <w:t xml:space="preserve"> </w:t>
      </w:r>
      <w:proofErr w:type="gramStart"/>
      <w:r w:rsidRPr="003242D6">
        <w:rPr>
          <w:rFonts w:cstheme="minorHAnsi"/>
          <w:sz w:val="24"/>
          <w:szCs w:val="24"/>
        </w:rPr>
        <w:t xml:space="preserve">total </w:t>
      </w:r>
      <w:r w:rsidR="008E093B" w:rsidRPr="003242D6">
        <w:rPr>
          <w:rFonts w:cstheme="minorHAnsi"/>
          <w:sz w:val="24"/>
          <w:szCs w:val="24"/>
        </w:rPr>
        <w:t xml:space="preserve"> funding</w:t>
      </w:r>
      <w:proofErr w:type="gramEnd"/>
      <w:r w:rsidR="008E093B" w:rsidRPr="003242D6">
        <w:rPr>
          <w:rFonts w:cstheme="minorHAnsi"/>
          <w:sz w:val="24"/>
          <w:szCs w:val="24"/>
        </w:rPr>
        <w:t xml:space="preserve"> available.</w:t>
      </w:r>
    </w:p>
    <w:p w14:paraId="5C3F1245" w14:textId="534D5D36" w:rsidR="00CD672F" w:rsidRPr="003242D6" w:rsidRDefault="008E093B" w:rsidP="008C3220">
      <w:pPr>
        <w:pStyle w:val="ListParagraph"/>
        <w:numPr>
          <w:ilvl w:val="0"/>
          <w:numId w:val="1"/>
        </w:numPr>
        <w:jc w:val="both"/>
        <w:rPr>
          <w:rFonts w:cstheme="minorHAnsi"/>
          <w:sz w:val="24"/>
          <w:szCs w:val="24"/>
        </w:rPr>
      </w:pPr>
      <w:r w:rsidRPr="003242D6">
        <w:rPr>
          <w:rFonts w:cstheme="minorHAnsi"/>
          <w:sz w:val="24"/>
          <w:szCs w:val="24"/>
        </w:rPr>
        <w:t xml:space="preserve">After making a provision for a potential </w:t>
      </w:r>
      <w:r w:rsidR="005639C9" w:rsidRPr="003242D6">
        <w:rPr>
          <w:rFonts w:cstheme="minorHAnsi"/>
          <w:b/>
          <w:bCs/>
          <w:sz w:val="24"/>
          <w:szCs w:val="24"/>
        </w:rPr>
        <w:t>£0.104m</w:t>
      </w:r>
      <w:r w:rsidR="005639C9" w:rsidRPr="003242D6">
        <w:rPr>
          <w:rFonts w:cstheme="minorHAnsi"/>
          <w:sz w:val="24"/>
          <w:szCs w:val="24"/>
        </w:rPr>
        <w:t xml:space="preserve"> </w:t>
      </w:r>
      <w:r w:rsidRPr="003242D6">
        <w:rPr>
          <w:rFonts w:cstheme="minorHAnsi"/>
          <w:sz w:val="24"/>
          <w:szCs w:val="24"/>
        </w:rPr>
        <w:t>VAT liability</w:t>
      </w:r>
      <w:r w:rsidR="009940B6" w:rsidRPr="003242D6">
        <w:rPr>
          <w:rFonts w:cstheme="minorHAnsi"/>
          <w:sz w:val="24"/>
          <w:szCs w:val="24"/>
        </w:rPr>
        <w:t xml:space="preserve"> (Core Fund &amp; Growth Hub </w:t>
      </w:r>
      <w:r w:rsidR="005639C9" w:rsidRPr="003242D6">
        <w:rPr>
          <w:rFonts w:cstheme="minorHAnsi"/>
          <w:sz w:val="24"/>
          <w:szCs w:val="24"/>
        </w:rPr>
        <w:t>Grant</w:t>
      </w:r>
      <w:r w:rsidR="009940B6" w:rsidRPr="003242D6">
        <w:rPr>
          <w:rFonts w:cstheme="minorHAnsi"/>
          <w:sz w:val="24"/>
          <w:szCs w:val="24"/>
        </w:rPr>
        <w:t>)</w:t>
      </w:r>
      <w:r w:rsidRPr="003242D6">
        <w:rPr>
          <w:rFonts w:cstheme="minorHAnsi"/>
          <w:sz w:val="24"/>
          <w:szCs w:val="24"/>
        </w:rPr>
        <w:t xml:space="preserve">, and adding interest </w:t>
      </w:r>
      <w:r w:rsidR="008C3220" w:rsidRPr="003242D6">
        <w:rPr>
          <w:rFonts w:cstheme="minorHAnsi"/>
          <w:sz w:val="24"/>
          <w:szCs w:val="24"/>
        </w:rPr>
        <w:t>earned</w:t>
      </w:r>
      <w:r w:rsidRPr="003242D6">
        <w:rPr>
          <w:rFonts w:cstheme="minorHAnsi"/>
          <w:sz w:val="24"/>
          <w:szCs w:val="24"/>
        </w:rPr>
        <w:t xml:space="preserve"> on LEP balances</w:t>
      </w:r>
      <w:r w:rsidR="008C3220" w:rsidRPr="003242D6">
        <w:rPr>
          <w:rFonts w:cstheme="minorHAnsi"/>
          <w:sz w:val="24"/>
          <w:szCs w:val="24"/>
        </w:rPr>
        <w:t xml:space="preserve">, </w:t>
      </w:r>
      <w:r w:rsidR="008C3220" w:rsidRPr="003242D6">
        <w:rPr>
          <w:rFonts w:cstheme="minorHAnsi"/>
          <w:b/>
          <w:bCs/>
          <w:sz w:val="24"/>
          <w:szCs w:val="24"/>
        </w:rPr>
        <w:t>£0.224</w:t>
      </w:r>
      <w:r w:rsidR="00125423" w:rsidRPr="003242D6">
        <w:rPr>
          <w:rFonts w:cstheme="minorHAnsi"/>
          <w:b/>
          <w:bCs/>
          <w:sz w:val="24"/>
          <w:szCs w:val="24"/>
        </w:rPr>
        <w:t>m</w:t>
      </w:r>
      <w:r w:rsidR="008C3220" w:rsidRPr="003242D6">
        <w:rPr>
          <w:rFonts w:cstheme="minorHAnsi"/>
          <w:sz w:val="24"/>
          <w:szCs w:val="24"/>
        </w:rPr>
        <w:t xml:space="preserve"> is available to support future years running costs. </w:t>
      </w:r>
      <w:r w:rsidR="008C3220" w:rsidRPr="003242D6">
        <w:rPr>
          <w:rFonts w:cstheme="minorHAnsi"/>
          <w:b/>
          <w:bCs/>
          <w:sz w:val="24"/>
          <w:szCs w:val="24"/>
        </w:rPr>
        <w:t>£</w:t>
      </w:r>
      <w:r w:rsidR="00125423" w:rsidRPr="003242D6">
        <w:rPr>
          <w:rFonts w:cstheme="minorHAnsi"/>
          <w:b/>
          <w:bCs/>
          <w:sz w:val="24"/>
          <w:szCs w:val="24"/>
        </w:rPr>
        <w:t>0.</w:t>
      </w:r>
      <w:r w:rsidR="00606DC8" w:rsidRPr="003242D6">
        <w:rPr>
          <w:rFonts w:cstheme="minorHAnsi"/>
          <w:b/>
          <w:bCs/>
          <w:sz w:val="24"/>
          <w:szCs w:val="24"/>
        </w:rPr>
        <w:t>037</w:t>
      </w:r>
      <w:r w:rsidR="008C3220" w:rsidRPr="003242D6">
        <w:rPr>
          <w:rFonts w:cstheme="minorHAnsi"/>
          <w:b/>
          <w:bCs/>
          <w:sz w:val="24"/>
          <w:szCs w:val="24"/>
        </w:rPr>
        <w:t>m</w:t>
      </w:r>
      <w:r w:rsidR="008C3220" w:rsidRPr="003242D6">
        <w:rPr>
          <w:rFonts w:cstheme="minorHAnsi"/>
          <w:sz w:val="24"/>
          <w:szCs w:val="24"/>
        </w:rPr>
        <w:t xml:space="preserve"> </w:t>
      </w:r>
      <w:r w:rsidR="00606DC8" w:rsidRPr="003242D6">
        <w:rPr>
          <w:rFonts w:cstheme="minorHAnsi"/>
          <w:sz w:val="24"/>
          <w:szCs w:val="24"/>
        </w:rPr>
        <w:t xml:space="preserve">of this carry forward sum </w:t>
      </w:r>
      <w:r w:rsidR="008C3220" w:rsidRPr="003242D6">
        <w:rPr>
          <w:rFonts w:cstheme="minorHAnsi"/>
          <w:sz w:val="24"/>
          <w:szCs w:val="24"/>
        </w:rPr>
        <w:t xml:space="preserve">has been approved to support the </w:t>
      </w:r>
      <w:r w:rsidR="005639C9" w:rsidRPr="003242D6">
        <w:rPr>
          <w:rFonts w:cstheme="minorHAnsi"/>
          <w:sz w:val="24"/>
          <w:szCs w:val="24"/>
        </w:rPr>
        <w:t>19</w:t>
      </w:r>
      <w:r w:rsidR="008C3220" w:rsidRPr="003242D6">
        <w:rPr>
          <w:rFonts w:cstheme="minorHAnsi"/>
          <w:sz w:val="24"/>
          <w:szCs w:val="24"/>
        </w:rPr>
        <w:t>20</w:t>
      </w:r>
      <w:r w:rsidR="005639C9" w:rsidRPr="003242D6">
        <w:rPr>
          <w:rFonts w:cstheme="minorHAnsi"/>
          <w:sz w:val="24"/>
          <w:szCs w:val="24"/>
        </w:rPr>
        <w:t>-</w:t>
      </w:r>
      <w:r w:rsidR="008C3220" w:rsidRPr="003242D6">
        <w:rPr>
          <w:rFonts w:cstheme="minorHAnsi"/>
          <w:sz w:val="24"/>
          <w:szCs w:val="24"/>
        </w:rPr>
        <w:t>21 core budget</w:t>
      </w:r>
      <w:r w:rsidR="008C3220" w:rsidRPr="003242D6">
        <w:rPr>
          <w:rFonts w:cstheme="minorHAnsi"/>
          <w:b/>
          <w:bCs/>
          <w:sz w:val="24"/>
          <w:szCs w:val="24"/>
        </w:rPr>
        <w:t>.</w:t>
      </w:r>
    </w:p>
    <w:p w14:paraId="775D5A59" w14:textId="77777777" w:rsidR="006B3853" w:rsidRPr="003242D6" w:rsidRDefault="006B3853" w:rsidP="008C0074">
      <w:pPr>
        <w:pStyle w:val="ListParagraph"/>
        <w:jc w:val="both"/>
        <w:rPr>
          <w:rFonts w:cstheme="minorHAnsi"/>
          <w:sz w:val="24"/>
          <w:szCs w:val="24"/>
        </w:rPr>
      </w:pPr>
    </w:p>
    <w:p w14:paraId="7934F083" w14:textId="40752BCD" w:rsidR="00F73119" w:rsidRPr="003242D6" w:rsidRDefault="00F73119" w:rsidP="008C0074">
      <w:pPr>
        <w:jc w:val="both"/>
        <w:rPr>
          <w:rFonts w:cstheme="minorHAnsi"/>
          <w:b/>
          <w:bCs/>
          <w:sz w:val="24"/>
          <w:szCs w:val="24"/>
        </w:rPr>
      </w:pPr>
      <w:r w:rsidRPr="003242D6">
        <w:rPr>
          <w:rFonts w:cstheme="minorHAnsi"/>
          <w:b/>
          <w:bCs/>
          <w:sz w:val="24"/>
          <w:szCs w:val="24"/>
        </w:rPr>
        <w:t>Growth H</w:t>
      </w:r>
      <w:r w:rsidR="009B2AA5" w:rsidRPr="003242D6">
        <w:rPr>
          <w:rFonts w:cstheme="minorHAnsi"/>
          <w:b/>
          <w:bCs/>
          <w:sz w:val="24"/>
          <w:szCs w:val="24"/>
        </w:rPr>
        <w:t>u</w:t>
      </w:r>
      <w:r w:rsidRPr="003242D6">
        <w:rPr>
          <w:rFonts w:cstheme="minorHAnsi"/>
          <w:b/>
          <w:bCs/>
          <w:sz w:val="24"/>
          <w:szCs w:val="24"/>
        </w:rPr>
        <w:t>b</w:t>
      </w:r>
    </w:p>
    <w:p w14:paraId="6A1E3A11" w14:textId="0AE1ED3D" w:rsidR="009901E3" w:rsidRPr="003242D6" w:rsidRDefault="009901E3" w:rsidP="008C0074">
      <w:pPr>
        <w:jc w:val="both"/>
        <w:rPr>
          <w:rFonts w:cstheme="minorHAnsi"/>
          <w:b/>
          <w:bCs/>
          <w:sz w:val="24"/>
          <w:szCs w:val="24"/>
        </w:rPr>
      </w:pPr>
      <w:r w:rsidRPr="003242D6">
        <w:rPr>
          <w:rFonts w:cstheme="minorHAnsi"/>
          <w:b/>
          <w:bCs/>
          <w:sz w:val="24"/>
          <w:szCs w:val="24"/>
        </w:rPr>
        <w:t>The Growth Hub Grant is an annual grant awarded to the LEP to fund its Growth Hub’s operational costs and is spent</w:t>
      </w:r>
      <w:r w:rsidRPr="003242D6">
        <w:rPr>
          <w:rFonts w:cstheme="minorHAnsi"/>
          <w:sz w:val="24"/>
          <w:szCs w:val="24"/>
        </w:rPr>
        <w:t xml:space="preserve"> </w:t>
      </w:r>
      <w:r w:rsidRPr="003242D6">
        <w:rPr>
          <w:rFonts w:cstheme="minorHAnsi"/>
          <w:b/>
          <w:bCs/>
          <w:sz w:val="24"/>
          <w:szCs w:val="24"/>
        </w:rPr>
        <w:t xml:space="preserve">in accordance with an approved CLGU Annual Spending Plan. </w:t>
      </w:r>
      <w:r w:rsidRPr="003242D6">
        <w:rPr>
          <w:rFonts w:eastAsia="Times New Roman" w:cstheme="minorHAnsi"/>
          <w:b/>
          <w:bCs/>
          <w:color w:val="000000"/>
          <w:sz w:val="24"/>
          <w:szCs w:val="24"/>
          <w:lang w:eastAsia="en-GB"/>
        </w:rPr>
        <w:t>This grant can only be used for this purpose.</w:t>
      </w:r>
    </w:p>
    <w:p w14:paraId="5038BA46" w14:textId="59D81311" w:rsidR="00DF27A1" w:rsidRPr="003242D6" w:rsidRDefault="00DF27A1" w:rsidP="004F5F62">
      <w:pPr>
        <w:pStyle w:val="ListParagraph"/>
        <w:numPr>
          <w:ilvl w:val="0"/>
          <w:numId w:val="1"/>
        </w:numPr>
        <w:jc w:val="both"/>
        <w:rPr>
          <w:rFonts w:cstheme="minorHAnsi"/>
          <w:sz w:val="24"/>
          <w:szCs w:val="24"/>
        </w:rPr>
      </w:pPr>
      <w:r w:rsidRPr="003242D6">
        <w:rPr>
          <w:rFonts w:cstheme="minorHAnsi"/>
          <w:sz w:val="24"/>
          <w:szCs w:val="24"/>
        </w:rPr>
        <w:t>Total Growth Hub spend was</w:t>
      </w:r>
      <w:r w:rsidRPr="003242D6">
        <w:rPr>
          <w:rFonts w:cstheme="minorHAnsi"/>
          <w:b/>
          <w:bCs/>
          <w:sz w:val="24"/>
          <w:szCs w:val="24"/>
        </w:rPr>
        <w:t xml:space="preserve"> £0.269m </w:t>
      </w:r>
      <w:r w:rsidRPr="003242D6">
        <w:rPr>
          <w:rFonts w:cstheme="minorHAnsi"/>
          <w:sz w:val="24"/>
          <w:szCs w:val="24"/>
        </w:rPr>
        <w:t>in 2019-20</w:t>
      </w:r>
      <w:r w:rsidR="008C3220" w:rsidRPr="003242D6">
        <w:rPr>
          <w:rFonts w:cstheme="minorHAnsi"/>
          <w:sz w:val="24"/>
          <w:szCs w:val="24"/>
        </w:rPr>
        <w:t xml:space="preserve">, which was funded from the annual </w:t>
      </w:r>
      <w:r w:rsidR="00125423" w:rsidRPr="003242D6">
        <w:rPr>
          <w:rFonts w:cstheme="minorHAnsi"/>
          <w:sz w:val="24"/>
          <w:szCs w:val="24"/>
        </w:rPr>
        <w:t>£0.205m G</w:t>
      </w:r>
      <w:r w:rsidR="008C3220" w:rsidRPr="003242D6">
        <w:rPr>
          <w:rFonts w:cstheme="minorHAnsi"/>
          <w:sz w:val="24"/>
          <w:szCs w:val="24"/>
        </w:rPr>
        <w:t xml:space="preserve">rowth </w:t>
      </w:r>
      <w:r w:rsidR="00125423" w:rsidRPr="003242D6">
        <w:rPr>
          <w:rFonts w:cstheme="minorHAnsi"/>
          <w:sz w:val="24"/>
          <w:szCs w:val="24"/>
        </w:rPr>
        <w:t>H</w:t>
      </w:r>
      <w:r w:rsidR="008C3220" w:rsidRPr="003242D6">
        <w:rPr>
          <w:rFonts w:cstheme="minorHAnsi"/>
          <w:sz w:val="24"/>
          <w:szCs w:val="24"/>
        </w:rPr>
        <w:t xml:space="preserve">ub grant and two </w:t>
      </w:r>
      <w:r w:rsidR="005639C9" w:rsidRPr="003242D6">
        <w:rPr>
          <w:rFonts w:cstheme="minorHAnsi"/>
          <w:sz w:val="24"/>
          <w:szCs w:val="24"/>
        </w:rPr>
        <w:t>‘</w:t>
      </w:r>
      <w:r w:rsidR="008C3220" w:rsidRPr="003242D6">
        <w:rPr>
          <w:rFonts w:cstheme="minorHAnsi"/>
          <w:sz w:val="24"/>
          <w:szCs w:val="24"/>
        </w:rPr>
        <w:t>one off</w:t>
      </w:r>
      <w:r w:rsidR="005639C9" w:rsidRPr="003242D6">
        <w:rPr>
          <w:rFonts w:cstheme="minorHAnsi"/>
          <w:sz w:val="24"/>
          <w:szCs w:val="24"/>
        </w:rPr>
        <w:t>’</w:t>
      </w:r>
      <w:r w:rsidR="008C3220" w:rsidRPr="003242D6">
        <w:rPr>
          <w:rFonts w:cstheme="minorHAnsi"/>
          <w:sz w:val="24"/>
          <w:szCs w:val="24"/>
        </w:rPr>
        <w:t xml:space="preserve"> grants</w:t>
      </w:r>
      <w:r w:rsidR="00125423" w:rsidRPr="003242D6">
        <w:rPr>
          <w:rFonts w:cstheme="minorHAnsi"/>
          <w:sz w:val="24"/>
          <w:szCs w:val="24"/>
        </w:rPr>
        <w:t xml:space="preserve"> </w:t>
      </w:r>
      <w:r w:rsidRPr="003242D6">
        <w:rPr>
          <w:rFonts w:cstheme="minorHAnsi"/>
          <w:sz w:val="24"/>
          <w:szCs w:val="24"/>
        </w:rPr>
        <w:t xml:space="preserve">(Preparation for Brexit) of </w:t>
      </w:r>
      <w:r w:rsidRPr="003242D6">
        <w:rPr>
          <w:rFonts w:cstheme="minorHAnsi"/>
          <w:b/>
          <w:bCs/>
          <w:sz w:val="24"/>
          <w:szCs w:val="24"/>
        </w:rPr>
        <w:t>£0.031m</w:t>
      </w:r>
      <w:r w:rsidRPr="003242D6">
        <w:rPr>
          <w:rFonts w:cstheme="minorHAnsi"/>
          <w:sz w:val="24"/>
          <w:szCs w:val="24"/>
        </w:rPr>
        <w:t xml:space="preserve"> (BEIS) and </w:t>
      </w:r>
      <w:r w:rsidRPr="003242D6">
        <w:rPr>
          <w:rFonts w:cstheme="minorHAnsi"/>
          <w:b/>
          <w:bCs/>
          <w:sz w:val="24"/>
          <w:szCs w:val="24"/>
        </w:rPr>
        <w:t>£0.033m</w:t>
      </w:r>
      <w:r w:rsidRPr="003242D6">
        <w:rPr>
          <w:rFonts w:cstheme="minorHAnsi"/>
          <w:sz w:val="24"/>
          <w:szCs w:val="24"/>
        </w:rPr>
        <w:t xml:space="preserve"> (West Midlands Growth Hub Cluster).</w:t>
      </w:r>
    </w:p>
    <w:p w14:paraId="3E56A190" w14:textId="2BA608C8" w:rsidR="00DF27A1" w:rsidRPr="003242D6" w:rsidRDefault="00DF27A1" w:rsidP="008C0074">
      <w:pPr>
        <w:pStyle w:val="ListParagraph"/>
        <w:numPr>
          <w:ilvl w:val="0"/>
          <w:numId w:val="1"/>
        </w:numPr>
        <w:jc w:val="both"/>
        <w:rPr>
          <w:rFonts w:cstheme="minorHAnsi"/>
          <w:sz w:val="24"/>
          <w:szCs w:val="24"/>
        </w:rPr>
      </w:pPr>
      <w:r w:rsidRPr="003242D6">
        <w:rPr>
          <w:rFonts w:cstheme="minorHAnsi"/>
          <w:sz w:val="24"/>
          <w:szCs w:val="24"/>
        </w:rPr>
        <w:t>All revenue Growth Hub grants were fully spent in 2019-20.</w:t>
      </w:r>
    </w:p>
    <w:p w14:paraId="1F599A8F" w14:textId="77777777" w:rsidR="00DF27A1" w:rsidRPr="003242D6" w:rsidRDefault="00DF27A1" w:rsidP="008C0074">
      <w:pPr>
        <w:ind w:left="720"/>
        <w:jc w:val="both"/>
        <w:rPr>
          <w:rFonts w:cstheme="minorHAnsi"/>
          <w:b/>
          <w:bCs/>
          <w:sz w:val="24"/>
          <w:szCs w:val="24"/>
        </w:rPr>
      </w:pPr>
    </w:p>
    <w:p w14:paraId="25B0ED41" w14:textId="6E22A464" w:rsidR="00F73119" w:rsidRPr="003242D6" w:rsidRDefault="00F73119" w:rsidP="008C0074">
      <w:pPr>
        <w:jc w:val="both"/>
        <w:rPr>
          <w:rFonts w:cstheme="minorHAnsi"/>
          <w:b/>
          <w:bCs/>
          <w:sz w:val="24"/>
          <w:szCs w:val="24"/>
        </w:rPr>
      </w:pPr>
      <w:r w:rsidRPr="003242D6">
        <w:rPr>
          <w:rFonts w:cstheme="minorHAnsi"/>
          <w:b/>
          <w:bCs/>
          <w:sz w:val="24"/>
          <w:szCs w:val="24"/>
        </w:rPr>
        <w:t xml:space="preserve">LEP Review Implementation </w:t>
      </w:r>
    </w:p>
    <w:p w14:paraId="489FECAF" w14:textId="6431D3DB" w:rsidR="0045702B" w:rsidRPr="003242D6" w:rsidRDefault="0045702B" w:rsidP="0045702B">
      <w:pPr>
        <w:jc w:val="both"/>
        <w:rPr>
          <w:rFonts w:eastAsia="Times New Roman" w:cstheme="minorHAnsi"/>
          <w:b/>
          <w:bCs/>
          <w:color w:val="000000"/>
          <w:sz w:val="24"/>
          <w:szCs w:val="24"/>
          <w:lang w:eastAsia="en-GB"/>
        </w:rPr>
      </w:pPr>
      <w:r w:rsidRPr="003242D6">
        <w:rPr>
          <w:rFonts w:cstheme="minorHAnsi"/>
          <w:b/>
          <w:bCs/>
          <w:sz w:val="24"/>
          <w:szCs w:val="24"/>
        </w:rPr>
        <w:t>A ‘one off’ BEIS grant</w:t>
      </w:r>
      <w:r w:rsidRPr="003242D6">
        <w:rPr>
          <w:rFonts w:eastAsia="Times New Roman" w:cstheme="minorHAnsi"/>
          <w:b/>
          <w:bCs/>
          <w:color w:val="000000"/>
          <w:sz w:val="24"/>
          <w:szCs w:val="24"/>
          <w:lang w:eastAsia="en-GB"/>
        </w:rPr>
        <w:t xml:space="preserve"> awarded to the LEP in 2018-19 that has been used to set up the SSLEP as a company 'legal entity'; develop the LIS and to review, reform and grow the current Executive Board structure &amp; its Secretariat capacity. This grant could only be used for these purposes.</w:t>
      </w:r>
    </w:p>
    <w:p w14:paraId="75B6DA07" w14:textId="4770ACBF" w:rsidR="00DF27A1" w:rsidRPr="003242D6" w:rsidRDefault="00DF27A1" w:rsidP="008C0074">
      <w:pPr>
        <w:pStyle w:val="ListParagraph"/>
        <w:numPr>
          <w:ilvl w:val="0"/>
          <w:numId w:val="1"/>
        </w:numPr>
        <w:jc w:val="both"/>
        <w:rPr>
          <w:rFonts w:cstheme="minorHAnsi"/>
          <w:b/>
          <w:bCs/>
          <w:sz w:val="24"/>
          <w:szCs w:val="24"/>
        </w:rPr>
      </w:pPr>
      <w:r w:rsidRPr="003242D6">
        <w:rPr>
          <w:rFonts w:cstheme="minorHAnsi"/>
          <w:sz w:val="24"/>
          <w:szCs w:val="24"/>
        </w:rPr>
        <w:t xml:space="preserve">Total LEP Review Implementation </w:t>
      </w:r>
      <w:r w:rsidR="00BF0F7A" w:rsidRPr="003242D6">
        <w:rPr>
          <w:rFonts w:cstheme="minorHAnsi"/>
          <w:sz w:val="24"/>
          <w:szCs w:val="24"/>
        </w:rPr>
        <w:t xml:space="preserve">net </w:t>
      </w:r>
      <w:r w:rsidRPr="003242D6">
        <w:rPr>
          <w:rFonts w:cstheme="minorHAnsi"/>
          <w:sz w:val="24"/>
          <w:szCs w:val="24"/>
        </w:rPr>
        <w:t xml:space="preserve">spend was </w:t>
      </w:r>
      <w:r w:rsidRPr="003242D6">
        <w:rPr>
          <w:rFonts w:cstheme="minorHAnsi"/>
          <w:b/>
          <w:bCs/>
          <w:sz w:val="24"/>
          <w:szCs w:val="24"/>
        </w:rPr>
        <w:t>£0.131m</w:t>
      </w:r>
      <w:r w:rsidR="008C3220" w:rsidRPr="003242D6">
        <w:rPr>
          <w:rFonts w:cstheme="minorHAnsi"/>
          <w:b/>
          <w:bCs/>
          <w:sz w:val="24"/>
          <w:szCs w:val="24"/>
        </w:rPr>
        <w:t xml:space="preserve"> </w:t>
      </w:r>
      <w:r w:rsidR="008C3220" w:rsidRPr="003242D6">
        <w:rPr>
          <w:rFonts w:cstheme="minorHAnsi"/>
          <w:sz w:val="24"/>
          <w:szCs w:val="24"/>
        </w:rPr>
        <w:t>in 2019</w:t>
      </w:r>
      <w:r w:rsidR="005639C9" w:rsidRPr="003242D6">
        <w:rPr>
          <w:rFonts w:cstheme="minorHAnsi"/>
          <w:sz w:val="24"/>
          <w:szCs w:val="24"/>
        </w:rPr>
        <w:t>-</w:t>
      </w:r>
      <w:r w:rsidR="008C3220" w:rsidRPr="003242D6">
        <w:rPr>
          <w:rFonts w:cstheme="minorHAnsi"/>
          <w:sz w:val="24"/>
          <w:szCs w:val="24"/>
        </w:rPr>
        <w:t>20 which was funded from the balance of the LEP Review Implementation Grant (£0.080m) and the balance from the Core Fund (£0.051m)</w:t>
      </w:r>
      <w:r w:rsidR="00125423" w:rsidRPr="003242D6">
        <w:rPr>
          <w:rFonts w:cstheme="minorHAnsi"/>
          <w:sz w:val="24"/>
          <w:szCs w:val="24"/>
        </w:rPr>
        <w:t>.</w:t>
      </w:r>
      <w:r w:rsidRPr="003242D6">
        <w:rPr>
          <w:rFonts w:cstheme="minorHAnsi"/>
          <w:sz w:val="24"/>
          <w:szCs w:val="24"/>
        </w:rPr>
        <w:t xml:space="preserve"> </w:t>
      </w:r>
    </w:p>
    <w:p w14:paraId="48A013A5" w14:textId="2F849587" w:rsidR="00CD672F" w:rsidRDefault="00CD672F" w:rsidP="00125423">
      <w:pPr>
        <w:jc w:val="both"/>
        <w:rPr>
          <w:rFonts w:cstheme="minorHAnsi"/>
          <w:sz w:val="24"/>
          <w:szCs w:val="24"/>
        </w:rPr>
      </w:pPr>
    </w:p>
    <w:p w14:paraId="0C692421" w14:textId="77777777" w:rsidR="00AC6B15" w:rsidRPr="003242D6" w:rsidRDefault="00AC6B15" w:rsidP="00125423">
      <w:pPr>
        <w:jc w:val="both"/>
        <w:rPr>
          <w:rFonts w:cstheme="minorHAnsi"/>
          <w:sz w:val="24"/>
          <w:szCs w:val="24"/>
        </w:rPr>
      </w:pPr>
      <w:bookmarkStart w:id="0" w:name="_GoBack"/>
      <w:bookmarkEnd w:id="0"/>
    </w:p>
    <w:p w14:paraId="1F501AC7" w14:textId="77777777" w:rsidR="009901E3" w:rsidRPr="003242D6" w:rsidRDefault="00F73119" w:rsidP="009901E3">
      <w:pPr>
        <w:jc w:val="both"/>
        <w:rPr>
          <w:rFonts w:cstheme="minorHAnsi"/>
          <w:b/>
          <w:bCs/>
          <w:sz w:val="24"/>
          <w:szCs w:val="24"/>
        </w:rPr>
      </w:pPr>
      <w:r w:rsidRPr="003242D6">
        <w:rPr>
          <w:rFonts w:cstheme="minorHAnsi"/>
          <w:b/>
          <w:bCs/>
          <w:sz w:val="24"/>
          <w:szCs w:val="24"/>
        </w:rPr>
        <w:lastRenderedPageBreak/>
        <w:t>SAP Grant</w:t>
      </w:r>
    </w:p>
    <w:p w14:paraId="25BE04EA" w14:textId="47158304" w:rsidR="0045702B" w:rsidRPr="003242D6" w:rsidRDefault="0045702B" w:rsidP="009901E3">
      <w:pPr>
        <w:jc w:val="both"/>
        <w:rPr>
          <w:rFonts w:cstheme="minorHAnsi"/>
          <w:b/>
          <w:bCs/>
          <w:sz w:val="24"/>
          <w:szCs w:val="24"/>
        </w:rPr>
      </w:pPr>
      <w:r w:rsidRPr="003242D6">
        <w:rPr>
          <w:rFonts w:eastAsia="Times New Roman" w:cstheme="minorHAnsi"/>
          <w:b/>
          <w:bCs/>
          <w:color w:val="000000"/>
          <w:sz w:val="24"/>
          <w:szCs w:val="24"/>
          <w:lang w:eastAsia="en-GB"/>
        </w:rPr>
        <w:t>This grant was awarded to the LEP to increase local Skills Panels’ analytical capabilities to support the development of the Local Industrial Strategy (LIS). A Project Plan to spend this grant was approval at the 18th July 2019 LEP Executive Board. This grant c</w:t>
      </w:r>
      <w:r w:rsidR="009901E3" w:rsidRPr="003242D6">
        <w:rPr>
          <w:rFonts w:eastAsia="Times New Roman" w:cstheme="minorHAnsi"/>
          <w:b/>
          <w:bCs/>
          <w:color w:val="000000"/>
          <w:sz w:val="24"/>
          <w:szCs w:val="24"/>
          <w:lang w:eastAsia="en-GB"/>
        </w:rPr>
        <w:t>an</w:t>
      </w:r>
      <w:r w:rsidRPr="003242D6">
        <w:rPr>
          <w:rFonts w:eastAsia="Times New Roman" w:cstheme="minorHAnsi"/>
          <w:b/>
          <w:bCs/>
          <w:color w:val="000000"/>
          <w:sz w:val="24"/>
          <w:szCs w:val="24"/>
          <w:lang w:eastAsia="en-GB"/>
        </w:rPr>
        <w:t xml:space="preserve"> only be used for this purpose.</w:t>
      </w:r>
    </w:p>
    <w:p w14:paraId="2011EDB5" w14:textId="77777777" w:rsidR="0045702B" w:rsidRPr="003242D6" w:rsidRDefault="0045702B" w:rsidP="0045702B">
      <w:pPr>
        <w:spacing w:after="0" w:line="240" w:lineRule="auto"/>
        <w:jc w:val="both"/>
        <w:rPr>
          <w:rFonts w:eastAsia="Times New Roman" w:cstheme="minorHAnsi"/>
          <w:b/>
          <w:bCs/>
          <w:color w:val="000000"/>
          <w:sz w:val="24"/>
          <w:szCs w:val="24"/>
          <w:lang w:eastAsia="en-GB"/>
        </w:rPr>
      </w:pPr>
    </w:p>
    <w:p w14:paraId="4AF109D6" w14:textId="408844A6" w:rsidR="009B2AA5" w:rsidRPr="003242D6" w:rsidRDefault="009B2AA5" w:rsidP="008C0074">
      <w:pPr>
        <w:pStyle w:val="ListParagraph"/>
        <w:numPr>
          <w:ilvl w:val="0"/>
          <w:numId w:val="1"/>
        </w:numPr>
        <w:jc w:val="both"/>
        <w:rPr>
          <w:rFonts w:cstheme="minorHAnsi"/>
          <w:sz w:val="24"/>
          <w:szCs w:val="24"/>
        </w:rPr>
      </w:pPr>
      <w:r w:rsidRPr="003242D6">
        <w:rPr>
          <w:rFonts w:cstheme="minorHAnsi"/>
          <w:sz w:val="24"/>
          <w:szCs w:val="24"/>
        </w:rPr>
        <w:t xml:space="preserve">The </w:t>
      </w:r>
      <w:r w:rsidRPr="003242D6">
        <w:rPr>
          <w:rFonts w:cstheme="minorHAnsi"/>
          <w:b/>
          <w:bCs/>
          <w:sz w:val="24"/>
          <w:szCs w:val="24"/>
        </w:rPr>
        <w:t>£0.075m</w:t>
      </w:r>
      <w:r w:rsidRPr="003242D6">
        <w:rPr>
          <w:rFonts w:cstheme="minorHAnsi"/>
          <w:sz w:val="24"/>
          <w:szCs w:val="24"/>
        </w:rPr>
        <w:t xml:space="preserve"> grant has been fully spent in 2019-20.</w:t>
      </w:r>
    </w:p>
    <w:p w14:paraId="08902A64" w14:textId="193A82F6" w:rsidR="009C6B02" w:rsidRPr="003242D6" w:rsidRDefault="009B2AA5" w:rsidP="008C0074">
      <w:pPr>
        <w:pStyle w:val="ListParagraph"/>
        <w:numPr>
          <w:ilvl w:val="0"/>
          <w:numId w:val="1"/>
        </w:numPr>
        <w:jc w:val="both"/>
        <w:rPr>
          <w:rFonts w:cstheme="minorHAnsi"/>
          <w:sz w:val="24"/>
          <w:szCs w:val="24"/>
        </w:rPr>
      </w:pPr>
      <w:r w:rsidRPr="003242D6">
        <w:rPr>
          <w:rFonts w:cstheme="minorHAnsi"/>
          <w:sz w:val="24"/>
          <w:szCs w:val="24"/>
        </w:rPr>
        <w:t xml:space="preserve">A further </w:t>
      </w:r>
      <w:r w:rsidRPr="003242D6">
        <w:rPr>
          <w:rFonts w:cstheme="minorHAnsi"/>
          <w:b/>
          <w:bCs/>
          <w:sz w:val="24"/>
          <w:szCs w:val="24"/>
        </w:rPr>
        <w:t>£0.075m</w:t>
      </w:r>
      <w:r w:rsidRPr="003242D6">
        <w:rPr>
          <w:rFonts w:cstheme="minorHAnsi"/>
          <w:sz w:val="24"/>
          <w:szCs w:val="24"/>
        </w:rPr>
        <w:t xml:space="preserve"> SAP Grant has been awarded to the LEP for 2020-21.</w:t>
      </w:r>
      <w:r w:rsidR="00F73119" w:rsidRPr="003242D6">
        <w:rPr>
          <w:rFonts w:cstheme="minorHAnsi"/>
          <w:sz w:val="24"/>
          <w:szCs w:val="24"/>
        </w:rPr>
        <w:t xml:space="preserve"> </w:t>
      </w:r>
    </w:p>
    <w:p w14:paraId="74BEDC73" w14:textId="223CB9AC" w:rsidR="003242D6" w:rsidRPr="003242D6" w:rsidRDefault="003242D6" w:rsidP="003242D6">
      <w:pPr>
        <w:jc w:val="both"/>
        <w:rPr>
          <w:rFonts w:cstheme="minorHAnsi"/>
          <w:sz w:val="24"/>
          <w:szCs w:val="24"/>
        </w:rPr>
      </w:pPr>
      <w:r w:rsidRPr="003242D6">
        <w:rPr>
          <w:rFonts w:cstheme="minorHAnsi"/>
          <w:b/>
          <w:bCs/>
          <w:sz w:val="24"/>
          <w:szCs w:val="24"/>
        </w:rPr>
        <w:t>Lead Board Director:</w:t>
      </w:r>
      <w:r>
        <w:rPr>
          <w:rFonts w:cstheme="minorHAnsi"/>
          <w:sz w:val="24"/>
          <w:szCs w:val="24"/>
        </w:rPr>
        <w:t xml:space="preserve"> Mohammed Ahmed, Chair of Audit &amp; Finance Group</w:t>
      </w:r>
    </w:p>
    <w:p w14:paraId="01F978F7" w14:textId="77EF97D3" w:rsidR="003242D6" w:rsidRPr="003242D6" w:rsidRDefault="003242D6" w:rsidP="003242D6">
      <w:pPr>
        <w:jc w:val="both"/>
        <w:rPr>
          <w:rFonts w:cstheme="minorHAnsi"/>
          <w:sz w:val="24"/>
          <w:szCs w:val="24"/>
        </w:rPr>
      </w:pPr>
      <w:r w:rsidRPr="003242D6">
        <w:rPr>
          <w:rFonts w:cstheme="minorHAnsi"/>
          <w:b/>
          <w:bCs/>
          <w:sz w:val="24"/>
          <w:szCs w:val="24"/>
        </w:rPr>
        <w:t>Report Author:</w:t>
      </w:r>
      <w:r w:rsidRPr="003242D6">
        <w:rPr>
          <w:rFonts w:cstheme="minorHAnsi"/>
          <w:sz w:val="24"/>
          <w:szCs w:val="24"/>
        </w:rPr>
        <w:t xml:space="preserve"> John Broad, LEP Accountable Body, Senior Finance Business Partner</w:t>
      </w:r>
    </w:p>
    <w:sectPr w:rsidR="003242D6" w:rsidRPr="003242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F606" w14:textId="77777777" w:rsidR="003242D6" w:rsidRDefault="003242D6" w:rsidP="003242D6">
      <w:pPr>
        <w:spacing w:after="0" w:line="240" w:lineRule="auto"/>
      </w:pPr>
      <w:r>
        <w:separator/>
      </w:r>
    </w:p>
  </w:endnote>
  <w:endnote w:type="continuationSeparator" w:id="0">
    <w:p w14:paraId="729F6E65" w14:textId="77777777" w:rsidR="003242D6" w:rsidRDefault="003242D6" w:rsidP="0032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5281" w14:textId="77777777" w:rsidR="003242D6" w:rsidRDefault="003242D6" w:rsidP="003242D6">
      <w:pPr>
        <w:spacing w:after="0" w:line="240" w:lineRule="auto"/>
      </w:pPr>
      <w:r>
        <w:separator/>
      </w:r>
    </w:p>
  </w:footnote>
  <w:footnote w:type="continuationSeparator" w:id="0">
    <w:p w14:paraId="2822A8ED" w14:textId="77777777" w:rsidR="003242D6" w:rsidRDefault="003242D6" w:rsidP="00324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9D6A" w14:textId="05DA3946" w:rsidR="003242D6" w:rsidRPr="003242D6" w:rsidRDefault="003242D6" w:rsidP="003242D6">
    <w:pPr>
      <w:pStyle w:val="Header"/>
      <w:jc w:val="right"/>
      <w:rPr>
        <w:b/>
        <w:bCs/>
      </w:rPr>
    </w:pPr>
    <w:r w:rsidRPr="003242D6">
      <w:rPr>
        <w:b/>
        <w:bCs/>
      </w:rPr>
      <w:t>Item 9i</w:t>
    </w:r>
  </w:p>
  <w:p w14:paraId="60682BFD" w14:textId="77777777" w:rsidR="003242D6" w:rsidRDefault="0032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40694"/>
    <w:multiLevelType w:val="hybridMultilevel"/>
    <w:tmpl w:val="72102ECA"/>
    <w:lvl w:ilvl="0" w:tplc="422E3FA0">
      <w:start w:val="20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19"/>
    <w:rsid w:val="00007AC4"/>
    <w:rsid w:val="00091D5A"/>
    <w:rsid w:val="000E2F54"/>
    <w:rsid w:val="001213F6"/>
    <w:rsid w:val="00125423"/>
    <w:rsid w:val="00225638"/>
    <w:rsid w:val="00275149"/>
    <w:rsid w:val="002C4549"/>
    <w:rsid w:val="003242D6"/>
    <w:rsid w:val="003B468D"/>
    <w:rsid w:val="0045702B"/>
    <w:rsid w:val="004F5F62"/>
    <w:rsid w:val="005147EA"/>
    <w:rsid w:val="0052000E"/>
    <w:rsid w:val="005639C9"/>
    <w:rsid w:val="00606DC8"/>
    <w:rsid w:val="00646B01"/>
    <w:rsid w:val="006B3853"/>
    <w:rsid w:val="0072672A"/>
    <w:rsid w:val="00754D8C"/>
    <w:rsid w:val="007C3246"/>
    <w:rsid w:val="007F7446"/>
    <w:rsid w:val="00834D45"/>
    <w:rsid w:val="008C0074"/>
    <w:rsid w:val="008C3220"/>
    <w:rsid w:val="008E093B"/>
    <w:rsid w:val="009901E3"/>
    <w:rsid w:val="009940B6"/>
    <w:rsid w:val="009A35F9"/>
    <w:rsid w:val="009B2AA5"/>
    <w:rsid w:val="009C395E"/>
    <w:rsid w:val="009C6B02"/>
    <w:rsid w:val="00AC6B15"/>
    <w:rsid w:val="00B9012B"/>
    <w:rsid w:val="00BF0F7A"/>
    <w:rsid w:val="00CD672F"/>
    <w:rsid w:val="00D04F21"/>
    <w:rsid w:val="00D33141"/>
    <w:rsid w:val="00DF27A1"/>
    <w:rsid w:val="00E963DF"/>
    <w:rsid w:val="00F1679B"/>
    <w:rsid w:val="00F7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7993"/>
  <w15:chartTrackingRefBased/>
  <w15:docId w15:val="{94883627-D650-4B6C-AEEA-C8210149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2F"/>
    <w:pPr>
      <w:ind w:left="720"/>
      <w:contextualSpacing/>
    </w:pPr>
  </w:style>
  <w:style w:type="paragraph" w:styleId="BalloonText">
    <w:name w:val="Balloon Text"/>
    <w:basedOn w:val="Normal"/>
    <w:link w:val="BalloonTextChar"/>
    <w:uiPriority w:val="99"/>
    <w:semiHidden/>
    <w:unhideWhenUsed/>
    <w:rsid w:val="008E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3B"/>
    <w:rPr>
      <w:rFonts w:ascii="Segoe UI" w:hAnsi="Segoe UI" w:cs="Segoe UI"/>
      <w:sz w:val="18"/>
      <w:szCs w:val="18"/>
    </w:rPr>
  </w:style>
  <w:style w:type="character" w:styleId="CommentReference">
    <w:name w:val="annotation reference"/>
    <w:basedOn w:val="DefaultParagraphFont"/>
    <w:uiPriority w:val="99"/>
    <w:semiHidden/>
    <w:unhideWhenUsed/>
    <w:rsid w:val="008C3220"/>
    <w:rPr>
      <w:sz w:val="16"/>
      <w:szCs w:val="16"/>
    </w:rPr>
  </w:style>
  <w:style w:type="paragraph" w:styleId="CommentText">
    <w:name w:val="annotation text"/>
    <w:basedOn w:val="Normal"/>
    <w:link w:val="CommentTextChar"/>
    <w:uiPriority w:val="99"/>
    <w:semiHidden/>
    <w:unhideWhenUsed/>
    <w:rsid w:val="008C3220"/>
    <w:pPr>
      <w:spacing w:line="240" w:lineRule="auto"/>
    </w:pPr>
    <w:rPr>
      <w:sz w:val="20"/>
      <w:szCs w:val="20"/>
    </w:rPr>
  </w:style>
  <w:style w:type="character" w:customStyle="1" w:styleId="CommentTextChar">
    <w:name w:val="Comment Text Char"/>
    <w:basedOn w:val="DefaultParagraphFont"/>
    <w:link w:val="CommentText"/>
    <w:uiPriority w:val="99"/>
    <w:semiHidden/>
    <w:rsid w:val="008C3220"/>
    <w:rPr>
      <w:sz w:val="20"/>
      <w:szCs w:val="20"/>
    </w:rPr>
  </w:style>
  <w:style w:type="paragraph" w:styleId="CommentSubject">
    <w:name w:val="annotation subject"/>
    <w:basedOn w:val="CommentText"/>
    <w:next w:val="CommentText"/>
    <w:link w:val="CommentSubjectChar"/>
    <w:uiPriority w:val="99"/>
    <w:semiHidden/>
    <w:unhideWhenUsed/>
    <w:rsid w:val="008C3220"/>
    <w:rPr>
      <w:b/>
      <w:bCs/>
    </w:rPr>
  </w:style>
  <w:style w:type="character" w:customStyle="1" w:styleId="CommentSubjectChar">
    <w:name w:val="Comment Subject Char"/>
    <w:basedOn w:val="CommentTextChar"/>
    <w:link w:val="CommentSubject"/>
    <w:uiPriority w:val="99"/>
    <w:semiHidden/>
    <w:rsid w:val="008C3220"/>
    <w:rPr>
      <w:b/>
      <w:bCs/>
      <w:sz w:val="20"/>
      <w:szCs w:val="20"/>
    </w:rPr>
  </w:style>
  <w:style w:type="paragraph" w:styleId="Header">
    <w:name w:val="header"/>
    <w:basedOn w:val="Normal"/>
    <w:link w:val="HeaderChar"/>
    <w:uiPriority w:val="99"/>
    <w:unhideWhenUsed/>
    <w:rsid w:val="00324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D6"/>
  </w:style>
  <w:style w:type="paragraph" w:styleId="Footer">
    <w:name w:val="footer"/>
    <w:basedOn w:val="Normal"/>
    <w:link w:val="FooterChar"/>
    <w:uiPriority w:val="99"/>
    <w:unhideWhenUsed/>
    <w:rsid w:val="00324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328">
      <w:bodyDiv w:val="1"/>
      <w:marLeft w:val="0"/>
      <w:marRight w:val="0"/>
      <w:marTop w:val="0"/>
      <w:marBottom w:val="0"/>
      <w:divBdr>
        <w:top w:val="none" w:sz="0" w:space="0" w:color="auto"/>
        <w:left w:val="none" w:sz="0" w:space="0" w:color="auto"/>
        <w:bottom w:val="none" w:sz="0" w:space="0" w:color="auto"/>
        <w:right w:val="none" w:sz="0" w:space="0" w:color="auto"/>
      </w:divBdr>
    </w:div>
    <w:div w:id="374700037">
      <w:bodyDiv w:val="1"/>
      <w:marLeft w:val="0"/>
      <w:marRight w:val="0"/>
      <w:marTop w:val="0"/>
      <w:marBottom w:val="0"/>
      <w:divBdr>
        <w:top w:val="none" w:sz="0" w:space="0" w:color="auto"/>
        <w:left w:val="none" w:sz="0" w:space="0" w:color="auto"/>
        <w:bottom w:val="none" w:sz="0" w:space="0" w:color="auto"/>
        <w:right w:val="none" w:sz="0" w:space="0" w:color="auto"/>
      </w:divBdr>
    </w:div>
    <w:div w:id="711074586">
      <w:bodyDiv w:val="1"/>
      <w:marLeft w:val="0"/>
      <w:marRight w:val="0"/>
      <w:marTop w:val="0"/>
      <w:marBottom w:val="0"/>
      <w:divBdr>
        <w:top w:val="none" w:sz="0" w:space="0" w:color="auto"/>
        <w:left w:val="none" w:sz="0" w:space="0" w:color="auto"/>
        <w:bottom w:val="none" w:sz="0" w:space="0" w:color="auto"/>
        <w:right w:val="none" w:sz="0" w:space="0" w:color="auto"/>
      </w:divBdr>
    </w:div>
    <w:div w:id="1630477870">
      <w:bodyDiv w:val="1"/>
      <w:marLeft w:val="0"/>
      <w:marRight w:val="0"/>
      <w:marTop w:val="0"/>
      <w:marBottom w:val="0"/>
      <w:divBdr>
        <w:top w:val="none" w:sz="0" w:space="0" w:color="auto"/>
        <w:left w:val="none" w:sz="0" w:space="0" w:color="auto"/>
        <w:bottom w:val="none" w:sz="0" w:space="0" w:color="auto"/>
        <w:right w:val="none" w:sz="0" w:space="0" w:color="auto"/>
      </w:divBdr>
    </w:div>
    <w:div w:id="19002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John (Corporate)</dc:creator>
  <cp:keywords/>
  <dc:description/>
  <cp:lastModifiedBy>Casey, Jacqui (E,I&amp;S)</cp:lastModifiedBy>
  <cp:revision>3</cp:revision>
  <dcterms:created xsi:type="dcterms:W3CDTF">2020-05-07T13:24:00Z</dcterms:created>
  <dcterms:modified xsi:type="dcterms:W3CDTF">2020-05-07T13:25:00Z</dcterms:modified>
</cp:coreProperties>
</file>